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BJagdG — Sonderregelungen</w:t>
      </w:r>
    </w:p>
    <w:p>
      <w:r>
        <w:rPr>
          <w:color w:val="555555"/>
          <w:sz w:val="18"/>
        </w:rPr>
        <w:t xml:space="preserve">Bundesjagdgesetz</w:t>
      </w:r>
    </w:p>
    <w:p>
      <w:r>
        <w:rPr>
          <w:color w:val="555555"/>
          <w:sz w:val="18"/>
        </w:rPr>
        <w:t xml:space="preserve">Stand: 10.06.2019 (konsolidierte Textfassung, kein amtliches Inkrafttretensdatum)</w:t>
      </w:r>
    </w:p>
    <w:p>
      <w:r>
        <w:t xml:space="preserve">Die zuständigen Landesregierungen werden ermächtigt, durch Rechtsverordnung im Benehmen mit dem Bundesministerium die Ausübung des Jagdrechts auf der Insel Helgoland und die Jagd auf Wasservögel auf dem Untersee und dem Rhein bei Konstanz abweichend von den Vorschriften dieses Gesetzes zu regeln.</w:t>
      </w:r>
    </w:p>
    <w:p>
      <w:r>
        <w:rPr>
          <w:color w:val="555555"/>
          <w:sz w:val="17"/>
        </w:rPr>
        <w:t xml:space="preserve">Zitiervorschlag: § 44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