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BJagdG</w:t>
      </w:r>
    </w:p>
    <w:p>
      <w:r>
        <w:rPr>
          <w:color w:val="555555"/>
          <w:sz w:val="18"/>
        </w:rPr>
        <w:t xml:space="preserve">Bundesjagdgesetz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Ländern sind Jagdbeiräte zu bilden, denen Vertreter der Landwirtschaft, der Forstwirtschaft, der Jagdgenossenschaften, der Jäger und des Naturschutzes angehören müssen.</w:t>
      </w:r>
    </w:p>
    <w:p>
      <w:r>
        <w:t xml:space="preserve">(2) Die Länder können die Mitwirkung von Vereinigungen der Jäger für die Fälle vorsehen, in denen Jagdscheininhaber gegen die Grundsätze der Weidgerechtigkeit verstoßen (§ 1 Abs. 3).</w:t>
      </w:r>
    </w:p>
    <w:p>
      <w:r>
        <w:rPr>
          <w:color w:val="555555"/>
          <w:sz w:val="17"/>
        </w:rPr>
        <w:t xml:space="preserve">Zitiervorschlag: § 37 BJagdG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https://recht.nulegal.eu/gesetze/BJagdG/37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