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BJagdG — Schutzvorrichtungen</w:t>
      </w:r>
    </w:p>
    <w:p>
      <w:r>
        <w:rPr>
          <w:color w:val="555555"/>
          <w:sz w:val="18"/>
        </w:rPr>
        <w:t xml:space="preserve">Bundesjagdgesetz</w:t>
      </w:r>
    </w:p>
    <w:p>
      <w:r>
        <w:rPr>
          <w:color w:val="555555"/>
          <w:sz w:val="18"/>
        </w:rPr>
        <w:t xml:space="preserve">Stand: 10.06.2019 (konsolidierte Textfassung, kein amtliches Inkrafttretensdatum)</w:t>
      </w:r>
    </w:p>
    <w:p>
      <w:r>
        <w:t xml:space="preserve">(1) Ein Anspruch auf Ersatz von Wildschaden ist nicht gegeben, wenn der Geschädigte die von dem Jagdausübungsberechtigten zur Abwehr von Wildschaden getroffenen Maßnahmen unwirksam macht.</w:t>
      </w:r>
    </w:p>
    <w:p>
      <w:r>
        <w:t xml:space="preserve">(2) Der Wildschaden, der an Weinbergen, Gärten, Obstgärten, Baumschulen, Alleen, einzelstehenden Bäumen, Forstkulturen, die durch Einbringen anderer als der im Jagdbezirk vorkommenden Hauptholzarten einer erhöhten Gefährdung ausgesetzt sind, oder Freilandpflanzungen von Garten- oder hochwertigen Handelsgewächsen entsteht, wird, soweit die Länder nicht anders bestimmen, nicht ersetzt, wenn die Herstellung von üblichen Schutzvorrichtungen unterblieben ist, die unter gewöhnlichen Umständen zur Abwendung des Schadens ausreichen. Die Länder können bestimmen, welche Schutzvorrichtungen als üblich anzusehen sind.</w:t>
      </w:r>
    </w:p>
    <w:p>
      <w:r>
        <w:rPr>
          <w:color w:val="555555"/>
          <w:sz w:val="17"/>
        </w:rPr>
        <w:t xml:space="preserve">Zitiervorschlag: § 32 BJagdG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https://recht.nulegal.eu/gesetze/BJagdG/32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