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BJagdG — Umfang der Ersatzpflicht</w:t>
      </w:r>
    </w:p>
    <w:p>
      <w:r>
        <w:rPr>
          <w:color w:val="555555"/>
          <w:sz w:val="18"/>
        </w:rPr>
        <w:t xml:space="preserve">Bundesjagdgesetz</w:t>
      </w:r>
    </w:p>
    <w:p>
      <w:r>
        <w:rPr>
          <w:color w:val="555555"/>
          <w:sz w:val="18"/>
        </w:rPr>
        <w:t xml:space="preserve">Stand: 10.06.2019 (konsolidierte Textfassung, kein amtliches Inkrafttretensdatum)</w:t>
      </w:r>
    </w:p>
    <w:p>
      <w:r>
        <w:t xml:space="preserve">(1) Nach den §§ 29 und 30 ist auch der Wildschaden zu ersetzen, der an den getrennten, aber noch nicht eingeernteten Erzeugnissen eines Grundstücks eintritt.</w:t>
      </w:r>
    </w:p>
    <w:p>
      <w:r>
        <w:t xml:space="preserve">(2) Werden Bodenerzeugnisse, deren voller Wert sich erst zur Zeit der Ernte bemessen läßt, vor diesem Zeitpunkt durch Wild beschädigt, so ist der Wildschaden in dem Umfange zu ersetzen, wie er sich zur Zeit der Ernte darstellt. Bei der Feststellung der Schadenshöhe ist jedoch zu berücksichtigen, ob der Schaden nach den Grundsätzen einer ordentlichen Wirtschaft durch Wiederanbau im gleichen Wirtschaftsjahr ausgeglichen werden kann.</w:t>
      </w:r>
    </w:p>
    <w:p>
      <w:r>
        <w:rPr>
          <w:color w:val="555555"/>
          <w:sz w:val="17"/>
        </w:rPr>
        <w:t xml:space="preserve">Zitiervorschlag: § 31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