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BJagdG — Inhalt des Jagdschutzes</w:t>
      </w:r>
    </w:p>
    <w:p>
      <w:r>
        <w:rPr>
          <w:color w:val="555555"/>
          <w:sz w:val="18"/>
        </w:rPr>
        <w:t xml:space="preserve">Bundesjagdgesetz</w:t>
      </w:r>
    </w:p>
    <w:p>
      <w:r>
        <w:rPr>
          <w:color w:val="555555"/>
          <w:sz w:val="18"/>
        </w:rPr>
        <w:t xml:space="preserve">Stand: 10.06.2019 (konsolidierte Textfassung, kein amtliches Inkrafttretensdatum)</w:t>
      </w:r>
    </w:p>
    <w:p>
      <w:r>
        <w:t xml:space="preserve">Der Jagdschutz umfaßt nach näherer Bestimmung durch die Länder den Schutz des Wildes insbesondere vor Wilderern, Futternot, Wildseuchen, vor wildernden Hunden und Katzen sowie die Sorge für die Einhaltung der zum Schutz des Wildes und der Jagd erlassenen Vorschriften.</w:t>
      </w:r>
    </w:p>
    <w:p>
      <w:r>
        <w:rPr>
          <w:color w:val="555555"/>
          <w:sz w:val="17"/>
        </w:rPr>
        <w:t xml:space="preserve">Zitiervorschlag: § 23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