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22c BJagdG — Zusätzliche Verbote in Bezug auf die Tierart Wolf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02.04.2026 (konsolidierte Textfassung, kein amtliches Inkrafttretensdatum)</w:t>
      </w:r>
    </w:p>
    <w:p>
      <w:r>
        <w:t xml:space="preserve">(1) Es ist verboten,</w:t>
      </w:r>
    </w:p>
    <w:p>
      <w:pPr>
        <w:ind w:left="420"/>
      </w:pPr>
      <w:r>
        <w:t xml:space="preserve">1. wildlebende Wölfe zu füttern oder</w:t>
      </w:r>
    </w:p>
    <w:p>
      <w:pPr>
        <w:ind w:left="420"/>
      </w:pPr>
      <w:r>
        <w:t xml:space="preserve">2. kranke oder verletzte Wölfe aufzunehmen, um sie gesundzupflegen.</w:t>
      </w:r>
    </w:p>
    <w:p>
      <w:r>
        <w:t xml:space="preserve">Ausgenommen von Satz 1 sind Maßnahmen der zuständigen Behörde.</w:t>
      </w:r>
    </w:p>
    <w:p>
      <w:r>
        <w:t xml:space="preserve">(2) Über § 19 Absatz 1 hinaus ist es verboten, bei der Jagd auf Wölfe Folgendes zu verwenden:</w:t>
      </w:r>
    </w:p>
    <w:p>
      <w:pPr>
        <w:ind w:left="420"/>
      </w:pPr>
      <w:r>
        <w:t xml:space="preserve">1. elektronische Vorrichtungen, die töten oder betäuben können,</w:t>
      </w:r>
    </w:p>
    <w:p>
      <w:pPr>
        <w:ind w:left="420"/>
      </w:pPr>
      <w:r>
        <w:t xml:space="preserve">2. Sprengstoff oder</w:t>
      </w:r>
    </w:p>
    <w:p>
      <w:pPr>
        <w:ind w:left="420"/>
      </w:pPr>
      <w:r>
        <w:t xml:space="preserve">3. Fallen, die nach ihrer Bauart oder nach ihren Anwendungsbedingungen nicht selektiv sind.</w:t>
      </w:r>
    </w:p>
    <w:p>
      <w:r>
        <w:rPr>
          <w:color w:val="555555"/>
          <w:sz w:val="17"/>
        </w:rPr>
        <w:t xml:space="preserve">Zitiervorschlag: § 22c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https://recht.nulegal.eu/gesetze/BJagdG/22c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