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IV BJagdGÄndG</w:t>
      </w:r>
    </w:p>
    <w:p>
      <w:r>
        <w:rPr>
          <w:color w:val="555555"/>
          <w:sz w:val="18"/>
        </w:rPr>
        <w:t xml:space="preserve">Gesetz zur Änderung des Bundesjagdgesetzes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IV BJagdGÄndG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https://recht.nulegal.eu/gesetze/BJagdG%C3%84ndG/iv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IV BJagdGÄndG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