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BImSchV 9 — Sachverständigengutachten</w:t>
      </w:r>
    </w:p>
    <w:p>
      <w:r>
        <w:rPr>
          <w:color w:val="555555"/>
          <w:sz w:val="18"/>
        </w:rPr>
        <w:t xml:space="preserve">Verordnung über das Genehmigungsverfahren</w:t>
      </w:r>
    </w:p>
    <w:p>
      <w:r>
        <w:rPr>
          <w:color w:val="555555"/>
          <w:sz w:val="18"/>
        </w:rPr>
        <w:t xml:space="preserve">Stand: 10.06.2019 (konsolidierte Textfassung, kein amtliches Inkrafttretensdatum)</w:t>
      </w:r>
    </w:p>
    <w:p>
      <w:r>
        <w:t xml:space="preserve">(1) Die Genehmigungsbehörde holt Sachverständigengutachten ein, soweit dies für die Prüfung der Genehmigungsvoraussetzungen notwendig ist. Der Auftrag hierzu soll möglichst bis zum Zeitpunkt der Bekanntmachung des Vorhabens (§ 8) erteilt werden. Ein Sachverständigengutachten ist in der Regel notwendig</w:t>
      </w:r>
    </w:p>
    <w:p>
      <w:pPr>
        <w:ind w:left="420"/>
      </w:pPr>
      <w:r>
        <w:t xml:space="preserve">1. zur Beurteilung der Angaben derjenigen Teile des Sicherheitsberichts nach § 9 der Störfall-Verordnung, die Abschnitt II Nummer 1, 3 und 4 sowie den Abschnitten III bis V des Anhangs II der Störfall-Verordnung entsprechen, soweit sie dem Antrag nach § 4b Absatz 2 beizufügen sind;</w:t>
      </w:r>
    </w:p>
    <w:p>
      <w:pPr>
        <w:ind w:left="420"/>
      </w:pPr>
      <w:r>
        <w:t xml:space="preserve">2. zur Beurteilung der Wirtschaftlichkeitsanalyse einschließlich des Kosten-Nutzen-Vergleichs gemäß § 6 der KWK-Kosten-Nutzen-Vergleich-Verordnung, es sei denn, es liegt ein Testat einer für die Prüfung der Wirtschaftlichkeitsanalyse nach gesetzlichen Vorschriften zuständigen Bundesbehörde vor, sowie</w:t>
      </w:r>
    </w:p>
    <w:p>
      <w:pPr>
        <w:ind w:left="420"/>
      </w:pPr>
      <w:r>
        <w:t xml:space="preserve">3. zur Beurteilung der Angaben zur Finanzlage gemäß § 8 Absatz 2 der KWK-Kosten-Nutzen-Vergleich-Verordnung.</w:t>
      </w:r>
    </w:p>
    <w:p>
      <w:r>
        <w:t xml:space="preserve">Sachverständige können darüber hinaus mit Einwilligung des Antragstellers herangezogen werden, wenn zu erwarten ist, dass hierdurch das Genehmigungsverfahren beschleunigt wird.</w:t>
      </w:r>
    </w:p>
    <w:p>
      <w:r>
        <w:t xml:space="preserve">(1a) Bei der Entscheidung, ob vorgelegte Unterlagen durch externe Sachverständige überprüft werden sollen, wird die Standorteintragung nach der Verordnung (EG) Nr. 761/2001 des Europäischen Parlaments und des Rates vom 19. März 2001 über die freiwillige Beteiligung von Organisationen an einem Gemeinschaftssystem für das Umweltmanagement und die Umweltbetriebsprüfung (EMAS) berücksichtigt.</w:t>
      </w:r>
    </w:p>
    <w:p>
      <w:r>
        <w:t xml:space="preserve">(2) Ein vom Antragsteller vorgelegtes Gutachten ist als sonstige Unterlage im Sinne von § 10 Absatz 1 Satz 2 des Bundes-Immissionsschutzgesetzes zu prüfen. Erteilt der Träger des Vorhabens den Gutachtenauftrag nach Abstimmung mit der Genehmigungsbehörde oder erteilt er ihn an einen Sachverständigen, der nach § 29b Absatz 1 des Bundes-Immissionsschutzgesetzes von der nach Landesrecht zuständigen Behörde für diesen Bereich bekanntgegeben ist, so gilt das vorgelegte Gutachten als Sachverständigengutachten im Sinne des Absatzes 1; dies gilt auch für Gutachten, die von einem Sachverständigen erstellt werden, der den Anforderungen des § 29a Absatz 1 Satz 2 des Bundes-Immissionsschutzgesetzes entspricht.</w:t>
      </w:r>
    </w:p>
    <w:p>
      <w:r>
        <w:rPr>
          <w:color w:val="555555"/>
          <w:sz w:val="17"/>
        </w:rPr>
        <w:t xml:space="preserve">Zitiervorschlag: § 13 BImSchV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https://recht.nulegal.eu/gesetze/BImSchV%209/13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BImSchV 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