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BImSchV 7 — Ausrüstung</w:t>
      </w:r>
    </w:p>
    <w:p>
      <w:r>
        <w:rPr>
          <w:color w:val="555555"/>
          <w:sz w:val="18"/>
        </w:rPr>
        <w:t xml:space="preserve">Verordnung zur Auswurfbegrenzung von Holzstaub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Anlagen im Sinne des § 1 sind bei ihrer Errichtung mit Abluftreinigungsanlagen auszurüsten, die ein Überschreiten des Emissionswertes nach § 4 ausschließen. Satz 1 gilt nicht, wenn ein Überschreiten des Emissionswertes nach § 4 durch andere Maßnahmen oder Betriebsweisen, insbesondere durch Verarbeitung von waldfrischem Holz, durch Naßschleifen oder durch Einsatz mechanischer Fördereinrichtungen bei jedem Betriebszustand ausgeschlossen wird.</w:t>
      </w:r>
    </w:p>
    <w:p>
      <w:r>
        <w:rPr>
          <w:color w:val="555555"/>
          <w:sz w:val="17"/>
        </w:rPr>
        <w:t xml:space="preserve">Zitiervorschlag: § 2 BImSchV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https://recht.nulegal.eu/gesetze/BImSchV%207/2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BImSchV 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