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BImSchV 44 — Emissionsgrenzwerte für Ammoniak</w:t>
      </w:r>
    </w:p>
    <w:p>
      <w:r>
        <w:rPr>
          <w:color w:val="555555"/>
          <w:sz w:val="18"/>
        </w:rPr>
        <w:t xml:space="preserve">Verordnung über mittelgroße Feuerungs-, Gasturbinen- und Verbrennungsmotoranlagen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Feuerungsanlagen, die selektive katalytische Reduktion oder selektive nichtkatalytische Reduktion einsetzen, sind so zu errichten und zu betreiben, dass die Emissionen an Ammoniak im Abgas eine Massenkonzentration von 30 mg/m3 nicht überschreiten.</w:t>
      </w:r>
    </w:p>
    <w:p>
      <w:r>
        <w:rPr>
          <w:color w:val="555555"/>
          <w:sz w:val="17"/>
        </w:rPr>
        <w:t xml:space="preserve">Zitiervorschlag: § 9 BImSchV 44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https://recht.nulegal.eu/gesetze/BImSchV%2044/9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