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BImSchV 44 — An- und Abfahrzeiten</w:t>
      </w:r>
    </w:p>
    <w:p>
      <w:r>
        <w:rPr>
          <w:color w:val="555555"/>
          <w:sz w:val="18"/>
        </w:rPr>
        <w:t xml:space="preserve">Verordnung über mittelgroße Feuerungs-, Gasturbinen- und Verbrennungsmotoranlagen</w:t>
      </w:r>
    </w:p>
    <w:p>
      <w:r>
        <w:rPr>
          <w:color w:val="555555"/>
          <w:sz w:val="18"/>
        </w:rPr>
        <w:t xml:space="preserve">Stand: 02.07.2019 (konsolidierte Textfassung, kein amtliches Inkrafttretensdatum)</w:t>
      </w:r>
    </w:p>
    <w:p>
      <w:r>
        <w:t xml:space="preserve">Der Betreiber hält die An- und Abfahrzeiten von Feuerungsanlagen möglichst kurz.</w:t>
      </w:r>
    </w:p>
    <w:p>
      <w:r>
        <w:rPr>
          <w:color w:val="555555"/>
          <w:sz w:val="17"/>
        </w:rPr>
        <w:t xml:space="preserve">Zitiervorschlag: § 8 BImSchV 44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https://recht.nulegal.eu/gesetze/BImSchV%2044/8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BImSchV 44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