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BImSchV 44 — Messungen an mittelgroßen Feuerungsanlagen bei Einsatz von flüssigen Brennstoffen</w:t>
      </w:r>
    </w:p>
    <w:p>
      <w:r>
        <w:rPr>
          <w:color w:val="555555"/>
          <w:sz w:val="18"/>
        </w:rPr>
        <w:t xml:space="preserve">Verordnung über mittelgroße Feuerungs-, Gasturbinen- und Verbrennungsmotoranlagen</w:t>
      </w:r>
    </w:p>
    <w:p>
      <w:r>
        <w:rPr>
          <w:color w:val="555555"/>
          <w:sz w:val="18"/>
        </w:rPr>
        <w:t xml:space="preserve">Stand: 02.07.2019 (konsolidierte Textfassung, kein amtliches Inkrafttretensdatum)</w:t>
      </w:r>
    </w:p>
    <w:p>
      <w:r>
        <w:t xml:space="preserve">(1) Der Betreiber hat bei Einsatz von flüssigen Brennstoffen in Feuerungsanlagen mit einer Feuerungswärmeleistung von 20 Megawatt oder mehr die Emissionen an Stickstoffmonoxid und Stickstoffdioxid, anzugeben als Stickstoffdioxid, jährlich zu ermitteln.</w:t>
      </w:r>
    </w:p>
    <w:p>
      <w:r>
        <w:t xml:space="preserve">(2) Der Betreiber hat bei Einsatz von flüssigen Brennstoffen in Feuerungsanlagen mit einer Feuerungswärmeleistung von weniger als 20 Megawatt die Emissionen an Stickstoffmonoxid und Stickstoffdioxid, anzugeben als Stickstoffdioxid, alle drei Jahre zu ermitteln.</w:t>
      </w:r>
    </w:p>
    <w:p>
      <w:r>
        <w:t xml:space="preserve">(3) Der Betreiber hat bei Einzelfeuerungen mit einer Feuerungswärmeleistung von 10 Megawatt oder mehr für den Einsatz von Heizölen nach DIN 51603 Teil 1, Ausgabe März 2017, von Heizölen nach DIN SPEC 51603 Teil 6, Ausgabe März 2017, von Methanol, Ethanol, naturbelassenen Pflanzenölen oder Pflanzenölmethylestern, die Bestandteil einer Feuerungsanlage mit einer Feuerungswärmeleistung von 20 Megawatt oder mehr sind, die Rußzahl nach DIN 51402 Teil 1, Ausgabe Oktober 1986, und die Massenkonzentration der Emissionen an Kohlenmonoxid im Abgas kontinuierlich zu ermitteln.</w:t>
      </w:r>
    </w:p>
    <w:p>
      <w:r>
        <w:t xml:space="preserve">(4) Der Betreiber hat bei Einsatz von Heizölen nach DIN 51603 Teil 1, Ausgabe März 2017, von Heizölen nach DIN SPEC 51603 Teil 6, Ausgabe März 2017, von Methanol, Ethanol, naturbelassenen Pflanzenölen oder Pflanzenölmethylestern in Feuerungsanlagen, die nicht in Absatz 3 genannt sind, die Emissionen an Kohlenmonoxid sowie die Rußzahl</w:t>
      </w:r>
    </w:p>
    <w:p>
      <w:pPr>
        <w:ind w:left="420"/>
      </w:pPr>
      <w:r>
        <w:t xml:space="preserve">1. an Feuerungsanlagen mit einer Feuerungswärmeleistung von 20 Megawatt oder mehr jährlich zu ermitteln;</w:t>
      </w:r>
    </w:p>
    <w:p>
      <w:pPr>
        <w:ind w:left="420"/>
      </w:pPr>
      <w:r>
        <w:t xml:space="preserve">2. an Feuerungsanlagen mit einer Feuerungswärmeleistung von weniger als 20 Megawatt alle drei Jahre zu ermitteln.</w:t>
      </w:r>
    </w:p>
    <w:p>
      <w:r>
        <w:t xml:space="preserve">(5) Der Betreiber hat bei Feuerungsanlagen, die emulgiertes Naturbitumen oder Heizöle, ausgenommen Heizöle nach DIN 51603 Teil 1, Ausgabe März 2017, und Heizöle nach DIN SPEC 51603 Teil 6, Ausgabe März 2017, einsetzen, die Emissionen an Schwefeloxiden</w:t>
      </w:r>
    </w:p>
    <w:p>
      <w:pPr>
        <w:ind w:left="420"/>
      </w:pPr>
      <w:r>
        <w:t xml:space="preserve">1. an Feuerungsanlagen mit einer Feuerungswärmeleistung von 20 Megawatt oder mehr jährlich zu ermitteln;</w:t>
      </w:r>
    </w:p>
    <w:p>
      <w:pPr>
        <w:ind w:left="420"/>
      </w:pPr>
      <w:r>
        <w:t xml:space="preserve">2. an Feuerungsanlagen mit einer Feuerungswärmeleistung von weniger als 20 Megawatt alle drei Jahre zu ermitteln.</w:t>
      </w:r>
    </w:p>
    <w:p>
      <w:r>
        <w:t xml:space="preserve">(6) Bei Feuerungsanlagen, die Methanol, Ethanol, naturbelassenes Pflanzenöl oder Pflanzenölmethylester einsetzen, hat der Betreiber den Schwefelgehalt und den unteren Heizwert des verwendeten Brennstoffs regelmäßig zu überprüfen, einen Nachweis zu führen und den Nachweis</w:t>
      </w:r>
    </w:p>
    <w:p>
      <w:pPr>
        <w:ind w:left="420"/>
      </w:pPr>
      <w:r>
        <w:t xml:space="preserve">1. bei Anlagen mit einer Feuerungswärmeleistung von 20 Megawatt oder mehr jährlich der zuständigen Behörde vorzulegen;</w:t>
      </w:r>
    </w:p>
    <w:p>
      <w:pPr>
        <w:ind w:left="420"/>
      </w:pPr>
      <w:r>
        <w:t xml:space="preserve">2. bei Anlagen mit einer Feuerungswärmeleistung von weniger als 20 Megawatt alle drei Jahre der zuständigen Behörde vorzulegen.</w:t>
      </w:r>
    </w:p>
    <w:p>
      <w:r>
        <w:t xml:space="preserve">(7) Der Betreiber hat bei Einzelfeuerungen mit einer Feuerungswärmeleistung von 20 Megawatt oder mehr, die emulgiertes Naturbitumen oder Heizöle, ausgenommen Heizöle nach DIN 51603 Teil 1, Ausgabe März 2017, und Heizöle nach DIN SPEC 51603 Teil 6, Ausgabe März 2017, einsetzen, die Massenkonzentrationen der Emissionen an Gesamtstaub und Kohlenmonoxid im Abgas kontinuierlich zu ermitteln.</w:t>
      </w:r>
    </w:p>
    <w:p>
      <w:r>
        <w:t xml:space="preserve">(8) Der Betreiber hat bei Einzelfeuerungen mit einer Feuerungswärmeleistung von weniger als 20 Megawatt, die emulgiertes Naturbitumen oder Heizöle, ausgenommen Heizöle nach DIN 51603 Teil 1, Ausgabe März 2017, und Heizöle nach DIN SPEC 51603 Teil 6, Ausgabe März 2017, einsetzen, die Massenkonzentration der Gesamtstaubemissionen im Abgas qualitativ kontinuierlich zu ermitteln.</w:t>
      </w:r>
    </w:p>
    <w:p>
      <w:r>
        <w:t xml:space="preserve">(9) Der Betreiber hat bei nicht in Absatz 7 genannten Feuerungsanlagen, die emulgiertes Naturbitumen oder Heizöle, ausgenommen Heizöle nach DIN 51603 Teil 1, Ausgabe März 2017, und Heizöle nach DIN SPEC 51603 Teil 6, Ausgabe März 2017, einsetzen, die Emissionen an Kohlenmonoxid und Gesamtstaub</w:t>
      </w:r>
    </w:p>
    <w:p>
      <w:pPr>
        <w:ind w:left="420"/>
      </w:pPr>
      <w:r>
        <w:t xml:space="preserve">1. bei Feuerungsanlagen mit einer Feuerungswärmeleistung von 20 Megawatt oder mehr jährlich zu ermitteln;</w:t>
      </w:r>
    </w:p>
    <w:p>
      <w:pPr>
        <w:ind w:left="420"/>
      </w:pPr>
      <w:r>
        <w:t xml:space="preserve">2. bei Feuerungsanlagen mit einer Feuerungswärmeleistung von weniger als 20 Megawatt alle drei Jahre zu ermitteln.</w:t>
      </w:r>
    </w:p>
    <w:p>
      <w:r>
        <w:t xml:space="preserve">(10) Der Betreiber hat bei nicht genehmigungsbedürftigen Feuerungsanlagen den Abgasverlust alle drei Jahre nach der Anlage 2 Nummer 3.4 zur Verordnung über kleine und mittlere Feuerungsanlagen zu ermitteln. Satz 1 gilt nicht für Brennwertgeräte.</w:t>
      </w:r>
    </w:p>
    <w:p>
      <w:r>
        <w:rPr>
          <w:color w:val="555555"/>
          <w:sz w:val="17"/>
        </w:rPr>
        <w:t xml:space="preserve">Zitiervorschlag: § 23 BImSchV 44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https://recht.nulegal.eu/gesetze/BImSchV%2044/23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