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BImSchV 42 — Betriebsinterne Überprüfungen und Laboruntersuchungen in Kühltürmen</w:t>
      </w:r>
    </w:p>
    <w:p>
      <w:r>
        <w:rPr>
          <w:color w:val="555555"/>
          <w:sz w:val="18"/>
        </w:rPr>
        <w:t xml:space="preserve">Verordnung über Verdunstungskühlanlagen, Kühltürme und Nassabscheider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durch regelmäßige mindestens zweiwöchentliche betriebsinterne Überprüfungen chemischer, physikalischer oder mikrobiologischer Kenngrößen die hygienische Beschaffenheit des Nutzwassers sicherzustellen.</w:t>
      </w:r>
    </w:p>
    <w:p>
      <w:r>
        <w:t xml:space="preserve">(2) Der Betreiber hat regelmäßig mindestens monatlich Laboruntersuchungen des Nutzwassers auf den Parameter Legionellen durchführen zu lassen.</w:t>
      </w:r>
    </w:p>
    <w:p>
      <w:r>
        <w:t xml:space="preserve">(3) Werden die in Anlage 1 genannten Prüfwerte 1 in zwei aufeinanderfolgenden Jahren bei keiner Laboruntersuchung nach Absatz 2 überschritten, können die regelmäßigen Untersuchungen nach Absatz 2 alle zwei Monate durchgeführt werden.</w:t>
      </w:r>
    </w:p>
    <w:p>
      <w:r>
        <w:t xml:space="preserve">(4) Der Betreiber hat sicherzustellen, dass er über das Ergebnis der Laboruntersuchungen nach Absatz 2 unverzüglich unterrichtet wird. Der Betreiber hat die betriebsinternen Überprüfungen nach Absatz 1 und die Laboruntersuchungen nach Absatz 2 nach deren Veranlassung sowie deren jeweilige Ergebnisse nach Vorliegen unverzüglich im Betriebstagebuch zu dokumentieren. Zusätzlich ist der mikrobiologische Untersuchungsbefund als Anlage zum Betriebstagebuch zu nehmen.</w:t>
      </w:r>
    </w:p>
    <w:p>
      <w:r>
        <w:rPr>
          <w:color w:val="555555"/>
          <w:sz w:val="17"/>
        </w:rPr>
        <w:t xml:space="preserve">Zitiervorschlag: § 7 BImSchV 42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https://recht.nulegal.eu/gesetze/BImSchV%2042/7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BImSchV 42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