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BImSchV 42 — Überprüfung der Anlagen</w:t>
      </w:r>
    </w:p>
    <w:p>
      <w:r>
        <w:rPr>
          <w:color w:val="555555"/>
          <w:sz w:val="18"/>
        </w:rPr>
        <w:t xml:space="preserve">Verordnung über Verdunstungskühlanlagen, Kühltürme und Nassabscheider</w:t>
      </w:r>
    </w:p>
    <w:p>
      <w:r>
        <w:rPr>
          <w:color w:val="555555"/>
          <w:sz w:val="18"/>
        </w:rPr>
        <w:t xml:space="preserve">Stand: 10.06.2019 (konsolidierte Textfassung, kein amtliches Inkrafttretensdatum)</w:t>
      </w:r>
    </w:p>
    <w:p>
      <w:r>
        <w:t xml:space="preserve">(1) Der Betreiber hat nach der Inbetriebnahme regelmäßig alle fünf Jahre von</w:t>
      </w:r>
    </w:p>
    <w:p>
      <w:pPr>
        <w:ind w:left="420"/>
      </w:pPr>
      <w:r>
        <w:t xml:space="preserve">1. einem öffentlich bestellten und vereidigten Sachverständigen oder</w:t>
      </w:r>
    </w:p>
    <w:p>
      <w:pPr>
        <w:ind w:left="420"/>
      </w:pPr>
      <w:r>
        <w:t xml:space="preserve">2. einer akkreditierten Inspektionsstelle Typ A</w:t>
      </w:r>
    </w:p>
    <w:p>
      <w:r>
        <w:t xml:space="preserve">eine Überprüfung des ordnungsgemäßen Anlagenbetriebs durchführen zu lassen. Für bestehende Anlagen ist die erste Überprüfung gemäß Satz 1 nach Inkrafttreten dieser Verordnung bis zu den nachstehenden Daten fällig:</w:t>
      </w:r>
    </w:p>
    <w:p>
      <w:r>
        <w:rPr>
          <w:rFonts w:ascii="Courier New" w:hAnsi="Courier New"/>
          <w:sz w:val="17"/>
        </w:rPr>
        <w:t xml:space="preserve">für Anlagen,die in Betrieb gegangen sindvor dem    erste Überprüfung bis zum</w:t>
      </w:r>
    </w:p>
    <w:p>
      <w:r>
        <w:rPr>
          <w:rFonts w:ascii="Courier New" w:hAnsi="Courier New"/>
          <w:sz w:val="17"/>
        </w:rPr>
        <w:t xml:space="preserve">19. August 2011    19. August 2019</w:t>
      </w:r>
    </w:p>
    <w:p>
      <w:r>
        <w:rPr>
          <w:rFonts w:ascii="Courier New" w:hAnsi="Courier New"/>
          <w:sz w:val="17"/>
        </w:rPr>
        <w:t xml:space="preserve">19. August 2013    19. August 2020</w:t>
      </w:r>
    </w:p>
    <w:p>
      <w:r>
        <w:rPr>
          <w:rFonts w:ascii="Courier New" w:hAnsi="Courier New"/>
          <w:sz w:val="17"/>
        </w:rPr>
        <w:t xml:space="preserve">19. August 2015    19. August 2021</w:t>
      </w:r>
    </w:p>
    <w:p>
      <w:r>
        <w:rPr>
          <w:rFonts w:ascii="Courier New" w:hAnsi="Courier New"/>
          <w:sz w:val="17"/>
        </w:rPr>
        <w:t xml:space="preserve">19. August 2017    19. August 2022</w:t>
      </w:r>
    </w:p>
    <w:p>
      <w:r>
        <w:t xml:space="preserve">(2) Der Betreiber hat den Sachverständigen und die Inspektionsstelle zu beauftragen, die Ergebnisse der Überprüfungen zeitgleich dem Betreiber und der zuständigen Behörde jeweils innerhalb von vier Wochen nach Abschluss der Überprüfung mitzuteilen.</w:t>
      </w:r>
    </w:p>
    <w:p>
      <w:r>
        <w:t xml:space="preserve">(3) Für Anlagen, die als Anlagenteile oder Nebeneinrichtungen von immissionsschutzrechtlich genehmigungsbedürftigen Anlagen betrieben werden, kann die zuständige Behörde von den Absätzen 1 und 2 abweichende Anforderungen zur Überprüfung dieser Anlagen in der Genehmigung festlegen.</w:t>
      </w:r>
    </w:p>
    <w:p>
      <w:r>
        <w:rPr>
          <w:color w:val="555555"/>
          <w:sz w:val="17"/>
        </w:rPr>
        <w:t xml:space="preserve">Zitiervorschlag: § 14 BImSchV 42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https://recht.nulegal.eu/gesetze/BImSchV%2042/14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