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BImSchV 42 — Informationspflichten</w:t>
      </w:r>
    </w:p>
    <w:p>
      <w:r>
        <w:rPr>
          <w:color w:val="555555"/>
          <w:sz w:val="18"/>
        </w:rPr>
        <w:t xml:space="preserve">Verordnung über Verdunstungskühlanlagen, Kühltürme und Nassabscheider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bei einer Laboruntersuchung eine Überschreitung der in Anlage 1 genannten Maßnahmenwerte festgestellt, hat der Betreiber die zuständigen Behörden</w:t>
      </w:r>
    </w:p>
    <w:p>
      <w:pPr>
        <w:ind w:left="420"/>
      </w:pPr>
      <w:r>
        <w:t xml:space="preserve">1. unverzüglich gemäß Anlage 3 Teil 1 zu informieren und</w:t>
      </w:r>
    </w:p>
    <w:p>
      <w:pPr>
        <w:ind w:left="420"/>
      </w:pPr>
      <w:r>
        <w:t xml:space="preserve">2. innerhalb einer Frist von vier Wochen gemäß Anlage 3 Teil 2 zu informieren.</w:t>
      </w:r>
    </w:p>
    <w:p>
      <w:r>
        <w:t xml:space="preserve">Informations- oder Meldepflichten nach anderen Vorschriften bleiben unberührt.</w:t>
      </w:r>
    </w:p>
    <w:p>
      <w:r>
        <w:rPr>
          <w:color w:val="555555"/>
          <w:sz w:val="17"/>
        </w:rPr>
        <w:t xml:space="preserve">Zitiervorschlag: § 10 BImSchV 42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https://recht.nulegal.eu/gesetze/BImSchV%2042/10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