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BImSchV 41 — Übergangsvorschriften</w:t>
      </w:r>
    </w:p>
    <w:p>
      <w:r>
        <w:rPr>
          <w:color w:val="555555"/>
          <w:sz w:val="18"/>
        </w:rPr>
        <w:t xml:space="preserve">Bekanntgabeverordnung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Bestehende Bekanntgaben für Stellen und Sachverständige, die vor dem 2. Mai 2013 erteilt wurden, gelten in ihrem bisherigen Geltungsbereich fort, bis eine neue bundesweite Bekanntgabe erfolgt. Abweichend von Satz 1 gilt § 16 mit Ausnahme von Absatz 4 Nummer 2 für bestehende Bekanntgaben für Stellen und gelten § 11 Absatz 4 und § 17 für bestehende Bekanntgaben für Sachverständige jeweils ab dem 2. Mai 2013.</w:t>
      </w:r>
    </w:p>
    <w:p>
      <w:r>
        <w:rPr>
          <w:color w:val="555555"/>
          <w:sz w:val="17"/>
        </w:rPr>
        <w:t xml:space="preserve">Zitiervorschlag: § 21 BImSchV 41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https://recht.nulegal.eu/gesetze/BImSchV%2041/21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