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BImSchV 39 — Immissionsgrenzwert für Kohlenmonoxid</w:t>
      </w:r>
    </w:p>
    <w:p>
      <w:r>
        <w:rPr>
          <w:color w:val="555555"/>
          <w:sz w:val="18"/>
        </w:rPr>
        <w:t xml:space="preserve">Verordnung über Luftqualitätsstandards und Emissionshöchstmengen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menschlichen Gesundheit beträgt der als höchster Achtstundenmittelwert pro Tag zu ermittelnde Immissionsgrenzwert für Kohlenmonoxid 10 Milligramm pro Kubikmeter.</w:t>
      </w:r>
    </w:p>
    <w:p>
      <w:r>
        <w:rPr>
          <w:color w:val="555555"/>
          <w:sz w:val="17"/>
        </w:rPr>
        <w:t xml:space="preserve">Zitiervorschlag: § 8 BImSchV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https://recht.nulegal.eu/gesetze/BImSchV%2039/8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BImSchV 39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