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BImSchV 39 — Zielwert, Immissionsgrenzwert, Verpflichtung in Bezug auf die Expositionskonzentration sowie nationales Ziel für die Reduzierung der Exposition für Partikel (PM2,5)</w:t>
      </w:r>
    </w:p>
    <w:p>
      <w:r>
        <w:rPr>
          <w:color w:val="555555"/>
          <w:sz w:val="18"/>
        </w:rPr>
        <w:t xml:space="preserve">Verordnung über Luftqualitätsstandards und Emissionshöchstmengen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Zum Schutz der menschlichen Gesundheit beträgt der über ein Kalenderjahr gemittelte Zielwert für PM2,5</w:t>
      </w:r>
    </w:p>
    <w:p>
      <w:r>
        <w:rPr>
          <w:rFonts w:ascii="Courier New" w:hAnsi="Courier New"/>
          <w:sz w:val="17"/>
        </w:rPr>
        <w:t xml:space="preserve">25 Mikrogramm pro Kubikmeter.</w:t>
      </w:r>
    </w:p>
    <w:p>
      <w:r>
        <w:t xml:space="preserve">(2) Zum Schutz der menschlichen Gesundheit beträgt der ab 1. Januar 2015 einzuhaltende über ein Kalenderjahr gemittelte Immissionsgrenzwert für PM2,5</w:t>
      </w:r>
    </w:p>
    <w:p>
      <w:r>
        <w:rPr>
          <w:rFonts w:ascii="Courier New" w:hAnsi="Courier New"/>
          <w:sz w:val="17"/>
        </w:rPr>
        <w:t xml:space="preserve">25 Mikrogramm pro Kubikmeter.</w:t>
      </w:r>
    </w:p>
    <w:p>
      <w:r>
        <w:t xml:space="preserve">(3) Für den Grenzwert des Absatzes 2 beträgt die Toleranzmarge 5 Mikrogramm pro Kubikmeter. Sie vermindert sich ab dem 1. Januar 2009 jährlich um ein Siebentel bis auf den Wert 0 zum 1. Januar 2015.</w:t>
      </w:r>
    </w:p>
    <w:p>
      <w:r>
        <w:t xml:space="preserve">(4) Zum Schutz der menschlichen Gesundheit und um die Verpflichtung in Bezug auf die Expositionskonzentration einzuhalten, darf der Indikator für die durchschnittliche PM2,5-Exposition nach § 15 ab dem 1. Januar 2015 den Wert von</w:t>
      </w:r>
    </w:p>
    <w:p>
      <w:r>
        <w:rPr>
          <w:rFonts w:ascii="Courier New" w:hAnsi="Courier New"/>
          <w:sz w:val="17"/>
        </w:rPr>
        <w:t xml:space="preserve">20 Mikrogramm pro Kubikmeter</w:t>
      </w:r>
    </w:p>
    <w:p>
      <w:r>
        <w:t xml:space="preserve">nicht mehr überschreiten.</w:t>
      </w:r>
    </w:p>
    <w:p>
      <w:r>
        <w:t xml:space="preserve">(5) Ab dem 1. Januar 2020 ist zum Schutz der menschlichen Gesundheit ein nationales Ziel für die Reduzierung der PM2,5-Exposition einzuhalten. Die Höhe dieses Ziels ist vom Wert des Indikators für die durchschnittliche PM2,5-Exposition nach § 15 im Referenzjahr 2010 abhängig. Die Beurteilung wird gemäß Anlage 12 Abschnitt B vom Umweltbundesamt vorgenommen.</w:t>
      </w:r>
    </w:p>
    <w:p>
      <w:r>
        <w:rPr>
          <w:color w:val="555555"/>
          <w:sz w:val="17"/>
        </w:rPr>
        <w:t xml:space="preserve">Zitiervorschlag: § 5 BImSchV 39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https://recht.nulegal.eu/gesetze/BImSchV%2039/5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