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BImSchV 39 — Programm der Bundesregierung zur Verminderung der Ozonwerte und zur Einhaltung der Emissionshöchstmengen</w:t>
      </w:r>
    </w:p>
    <w:p>
      <w:r>
        <w:rPr>
          <w:color w:val="555555"/>
          <w:sz w:val="18"/>
        </w:rPr>
        <w:t xml:space="preserve">Verordnung über Luftqualitätsstandards und Emissionshöchstmengen</w:t>
      </w:r>
    </w:p>
    <w:p>
      <w:r>
        <w:rPr>
          <w:color w:val="555555"/>
          <w:sz w:val="18"/>
        </w:rPr>
        <w:t xml:space="preserve">Stand: 10.06.2019 (konsolidierte Textfassung, kein amtliches Inkrafttretensdatum)</w:t>
      </w:r>
    </w:p>
    <w:p>
      <w:r>
        <w:t xml:space="preserve">(1) Die Bundesregierung erstellt, nach Anhörung der Länder und der beteiligten Kreise gemäß § 51 des Bundes-Immissionsschutzgesetzes, ein Programm, das dauerhafte Maßnahmen zur Verminderung der Ozonwerte nach § 9 und zur Einhaltung der Emissionshöchstmengen für die in § 33 Absatz 1 genannten Stoffe enthält.</w:t>
      </w:r>
    </w:p>
    <w:p>
      <w:r>
        <w:t xml:space="preserve">(2) Dieses Programm wird jährlich überprüft und, soweit erforderlich, fortgeschrieben.</w:t>
      </w:r>
    </w:p>
    <w:p>
      <w:r>
        <w:t xml:space="preserve">(3) Die im Programm enthaltenen Maßnahmen zielen darauf ab,</w:t>
      </w:r>
    </w:p>
    <w:p>
      <w:pPr>
        <w:ind w:left="420"/>
      </w:pPr>
      <w:r>
        <w:t xml:space="preserve">1. die Emissionen der in § 33 Absatz 1 genannten Stoffe so weit zu vermindern, dass die dort festgelegten Emissionshöchstmengen ab dem genannten Termin eingehalten werden;</w:t>
      </w:r>
    </w:p>
    <w:p>
      <w:pPr>
        <w:ind w:left="420"/>
      </w:pPr>
      <w:r>
        <w:t xml:space="preserve">2. die in § 9 Absatz 1 und 2 festgelegten Zielwerte einzuhalten;</w:t>
      </w:r>
    </w:p>
    <w:p>
      <w:pPr>
        <w:ind w:left="420"/>
      </w:pPr>
      <w:r>
        <w:t xml:space="preserve">3. die in § 9 Absatz 3 und 4 festgelegten langfristigen Ziele zu erreichen;</w:t>
      </w:r>
    </w:p>
    <w:p>
      <w:pPr>
        <w:ind w:left="420"/>
      </w:pPr>
      <w:r>
        <w:t xml:space="preserve">4. in den Gebieten der Bundesrepublik Deutschland, in denen die Ozonwerte unter den langfristigen Zielen liegen, die bestmögliche Luftqualität im Einklang mit einer dauerhaften und umweltgerechten Entwicklung sowie ein hohes Schutzniveau für die Umwelt und die menschliche Gesundheit zu erhalten, soweit insbesondere der grenzüberschreitende Charakter der Ozonbelastung und die meteorologischen Gegebenheiten dies zulassen.</w:t>
      </w:r>
    </w:p>
    <w:p>
      <w:r>
        <w:t xml:space="preserve">(4) Das Programm enthält Informationen über eingeführte und geplante Maßnahmen zur Schadstoffreduzierung sowie quantifizierte Schätzungen über deren Auswirkungen auf die Schadstoffemissionen ab dem Jahr 2010. Werden erhebliche Veränderungen der geographischen Verteilung der nationalen Emissionen erwartet, sind diese anzugeben. Soweit das Programm auf die Verminderung der Ozonwerte beziehungsweise deren Vorläuferstoffe abzielt, sind die in Anlage 13 genannten Angaben zu machen.</w:t>
      </w:r>
    </w:p>
    <w:p>
      <w:r>
        <w:t xml:space="preserve">(5) Die Maßnahmen des Programms müssen unter Berücksichtigung von Aufwand und Nutzen verhältnismäßig sein.</w:t>
      </w:r>
    </w:p>
    <w:p>
      <w:r>
        <w:rPr>
          <w:color w:val="555555"/>
          <w:sz w:val="17"/>
        </w:rPr>
        <w:t xml:space="preserve">Zitiervorschlag: § 34 BImSchV 39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https://recht.nulegal.eu/gesetze/BImSchV%2039/34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