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BImSchV 39 — Luftreinhaltepläne</w:t>
      </w:r>
    </w:p>
    <w:p>
      <w:r>
        <w:rPr>
          <w:color w:val="555555"/>
          <w:sz w:val="18"/>
        </w:rPr>
        <w:t xml:space="preserve">Verordnung über Luftqualitätsstandards und Emissionshöchstmengen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Überschreiten in bestimmten Gebieten oder Ballungsräumen die Werte für Schadstoffe in der Luft einen Immissionsgrenzwert zuzüglich einer jeweils dafür geltenden Toleranzmarge oder den in Anlage 12 Abschnitt D genannten Zielwert, erstellen die zuständigen Behörden für diese Gebiete oder Ballungsräume Luftreinhaltepläne.</w:t>
      </w:r>
    </w:p>
    <w:p>
      <w:r>
        <w:t xml:space="preserve">(2) Ein Luftreinhalteplan muss geeignete Maßnahmen enthalten, um den Zeitraum einer Nichteinhaltung so kurz wie möglich zu halten, wenn</w:t>
      </w:r>
    </w:p>
    <w:p>
      <w:pPr>
        <w:ind w:left="420"/>
      </w:pPr>
      <w:r>
        <w:t xml:space="preserve">1. einer der in Anlage 11 Abschnitt B genannten Immissionsgrenzwerte überschritten wird oder diese Überschreitung nach Ablauf einer nach § 21 Absatz 2 bis 4 verlängerten Frist zur Einhaltung von Immissionsgrenzwerten eintritt,</w:t>
      </w:r>
    </w:p>
    <w:p>
      <w:pPr>
        <w:ind w:left="420"/>
      </w:pPr>
      <w:r>
        <w:t xml:space="preserve">2. der in Anlage 12 Abschnitt E genannte Immissionsgrenzwert nach Ablauf der Einhaltefrist überschritten wurde.</w:t>
      </w:r>
    </w:p>
    <w:p>
      <w:r>
        <w:t xml:space="preserve">Die genannten Pläne können zusätzlich gezielte Maßnahmen zum Schutz empfindlicher Bevölkerungsgruppen, einschließlich Maßnahmen zum Schutz von Kindern, vorsehen.</w:t>
      </w:r>
    </w:p>
    <w:p>
      <w:r>
        <w:t xml:space="preserve">(3) Diese Luftreinhaltepläne müssen mindestens die in Anlage 13 aufgeführten Angaben umfassen und können Maßnahmen nach den §§ 22 und 28 enthalten.</w:t>
      </w:r>
    </w:p>
    <w:p>
      <w:r>
        <w:t xml:space="preserve">(4) Müssen für mehrere Schadstoffe Luftreinhaltepläne ausgearbeitet oder durchgeführt werden, so arbeiten die zuständigen Behörden gegebenenfalls für alle betreffenden Schadstoffe einen integrierten Luftreinhalteplan aus und führen ihn durch.</w:t>
      </w:r>
    </w:p>
    <w:p>
      <w:r>
        <w:t xml:space="preserve">(5) Die zuständigen Behörden stellen, soweit möglich, die Übereinstimmung der Luftreinhaltepläne mit den Lärmaktionsplänen nach § 47d des Bundes-Immissionsschutzgesetzes und mit dem Programm zur Verminderung der Ozonwerte und zur Einhaltung der Emissionshöchstmengen nach § 34 sicher, um die entsprechenden Umweltziele zu erreichen.</w:t>
      </w:r>
    </w:p>
    <w:p>
      <w:r>
        <w:rPr>
          <w:color w:val="555555"/>
          <w:sz w:val="17"/>
        </w:rPr>
        <w:t xml:space="preserve">Zitiervorschlag: § 27 BImSchV 39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https://recht.nulegal.eu/gesetze/BImSchV%2039/27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BImSchV 39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