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BImSchV 39 — Anforderungen an Gebiete und Ballungsräume, in denen die Zielwerte für Arsen, Kadmium, Nickel und Benzo[a]pyren überschritten sind</w:t>
      </w:r>
    </w:p>
    <w:p>
      <w:r>
        <w:rPr>
          <w:color w:val="555555"/>
          <w:sz w:val="18"/>
        </w:rPr>
        <w:t xml:space="preserve">Verordnung über Luftqualitätsstandards und Emissionshöchstmengen</w:t>
      </w:r>
    </w:p>
    <w:p>
      <w:r>
        <w:rPr>
          <w:color w:val="555555"/>
          <w:sz w:val="18"/>
        </w:rPr>
        <w:t xml:space="preserve">Stand: 10.06.2019 (konsolidierte Textfassung, kein amtliches Inkrafttretensdatum)</w:t>
      </w:r>
    </w:p>
    <w:p>
      <w:r>
        <w:t xml:space="preserve">Werden in Teilgebieten nach § 20 Absatz 1 Nummer 2 die Zielwerte für Arsen, Kadmium, Nickel und Benzo[a]pyren überschritten, stellen die zuständigen Behörden zur Weiterleitung an die Kommission dar, welche Maßnahmen für diese Gebiete ergriffen wurden, um die Zielwerte zu erreichen. Dies betrifft vor allem die vorherrschenden Emissionsquellen. Für Industrieanlagen, die unter die Richtlinie 2008/1/EG des Europäischen Parlaments und des Rates vom 15. Januar 2008 über die integrierte Vermeidung und Verminderung der Umweltverschmutzung (ABl. L 24 vom 29.1.2008, S. 8) fallen, bedeutet dies, dass die besten verfügbaren Techniken im Sinne des Artikels 2 Nummer 12 jener Richtlinie angewandt wurden.</w:t>
      </w:r>
    </w:p>
    <w:p>
      <w:r>
        <w:rPr>
          <w:color w:val="555555"/>
          <w:sz w:val="17"/>
        </w:rPr>
        <w:t xml:space="preserve">Zitiervorschlag: § 22 BImSchV 39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https://recht.nulegal.eu/gesetze/BImSchV%2039/22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