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BImSchV 39 — Regelungen für die Einhaltung der Immissionsgrenzwerte für Schwefeldioxid, Stickstoffdioxid, Partikel (PM10 und PM2,5), Blei, Benzol und Kohlenmonoxid</w:t>
      </w:r>
    </w:p>
    <w:p>
      <w:r>
        <w:rPr>
          <w:color w:val="555555"/>
          <w:sz w:val="18"/>
        </w:rPr>
        <w:t xml:space="preserve">Verordnung über Luftqualitätsstandards und Emissionshöchstmengen</w:t>
      </w:r>
    </w:p>
    <w:p>
      <w:r>
        <w:rPr>
          <w:color w:val="555555"/>
          <w:sz w:val="18"/>
        </w:rPr>
        <w:t xml:space="preserve">Stand: 10.06.2019 (konsolidierte Textfassung, kein amtliches Inkrafttretensdatum)</w:t>
      </w:r>
    </w:p>
    <w:p>
      <w:r>
        <w:t xml:space="preserve">(1) Die Einhaltung der Immissionsgrenzwerte für Schwefeldioxid, Stickstoffdioxid, Partikel PM10, Partikel PM2,5, Blei, Benzol und Kohlenmonoxid wird nach Anlage 3 beurteilt.</w:t>
      </w:r>
    </w:p>
    <w:p>
      <w:r>
        <w:t xml:space="preserve">(2) Sofern die zuständigen Stellen in den Ländern eine Fristverlängerung nach Artikel 22 Absatz 1 der Richtlinie 2008/50/EG für die Stoffe Stickstoffdioxid und Benzol oder eine Ausnahme zur Verpflichtung der Einhaltung der Immissionsgrenzwerte für Partikel PM10 nach Artikel 22 Absatz 2 der Richtlinie 2008/50/EG in Anspruch nehmen wollen, muss dies der Kommission nach Maßgabe des Artikels 22 Absatz 4 der Richtlinie 2008/50/EG über die zuständige oberste Landesbehörde durch die Bundesregierung mitgeteilt werden.</w:t>
      </w:r>
    </w:p>
    <w:p>
      <w:r>
        <w:t xml:space="preserve">(3) Eine Ausnahme zur Verpflichtung zur Einhaltung der Immissionsgrenzwerte für Partikel PM10 nach Absatz 2 kann bis einschließlich 11. Juni 2011 in Anspruch genommen werden, wenn diese auf Grund standortspezifischer Ausbreitungsbedingungen, ungünstiger klimatischer Bedingungen oder grenzüberschreitender Schadstoffeinträge nicht eingehalten werden. Eine Fristverlängerung nach Absatz 2 bezüglich Stickstoffdioxid und Benzol kann bis einschließlich 31. Dezember 2014 in Anspruch genommen werden.</w:t>
      </w:r>
    </w:p>
    <w:p>
      <w:r>
        <w:t xml:space="preserve">(4) Hat die Kommission neun Monate nach Eingang der Mitteilung nach Absatz 2 keine Einwände erhoben, so entfällt die Verpflichtung zur Einhaltung der Immissionsgrenzwerte bis zu dem in der Mitteilung für den jeweiligen Stoff genannten Zeitpunkt. Dabei muss sichergestellt werden, dass der Wert für den jeweiligen Schadstoff den Immissionsgrenzwert um nicht mehr als die in Anlage 11 festgelegte Toleranzmarge überschreitet.</w:t>
      </w:r>
    </w:p>
    <w:p>
      <w:r>
        <w:rPr>
          <w:color w:val="555555"/>
          <w:sz w:val="17"/>
        </w:rPr>
        <w:t xml:space="preserve">Zitiervorschlag: § 21 BImSchV 39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https://recht.nulegal.eu/gesetze/BImSchV%2039/21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