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BImSchV 39 — Immissionsgrenzwerte, Alarmschwelle und kritischer Wert für Schwefeldioxid</w:t>
      </w:r>
    </w:p>
    <w:p>
      <w:r>
        <w:rPr>
          <w:color w:val="555555"/>
          <w:sz w:val="18"/>
        </w:rPr>
        <w:t xml:space="preserve">Verordnung über Luftqualitätsstandards und Emissionshöchstmengen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Schutz der menschlichen Gesundheit beträgt der über eine volle Stunde gemittelte Immissionsgrenzwert für Schwefeldioxid</w:t>
      </w:r>
    </w:p>
    <w:p>
      <w:r>
        <w:rPr>
          <w:rFonts w:ascii="Courier New" w:hAnsi="Courier New"/>
          <w:sz w:val="17"/>
        </w:rPr>
        <w:t xml:space="preserve">350 Mikrogramm pro Kubikmeter</w:t>
      </w:r>
    </w:p>
    <w:p>
      <w:r>
        <w:t xml:space="preserve">bei 24 zugelassenen Überschreitungen im Kalenderjahr.</w:t>
      </w:r>
    </w:p>
    <w:p>
      <w:r>
        <w:t xml:space="preserve">(2) Zum Schutz der menschlichen Gesundheit beträgt der über den Tag gemittelte Immissionsgrenzwert für Schwefeldioxid</w:t>
      </w:r>
    </w:p>
    <w:p>
      <w:r>
        <w:rPr>
          <w:rFonts w:ascii="Courier New" w:hAnsi="Courier New"/>
          <w:sz w:val="17"/>
        </w:rPr>
        <w:t xml:space="preserve">125 Mikrogramm pro Kubikmeter</w:t>
      </w:r>
    </w:p>
    <w:p>
      <w:r>
        <w:t xml:space="preserve">bei drei zugelassenen Überschreitungen im Kalenderjahr.</w:t>
      </w:r>
    </w:p>
    <w:p>
      <w:r>
        <w:t xml:space="preserve">(3) Die Alarmschwelle für Schwefeldioxid beträgt über eine volle Stunde gemittelt</w:t>
      </w:r>
    </w:p>
    <w:p>
      <w:r>
        <w:rPr>
          <w:rFonts w:ascii="Courier New" w:hAnsi="Courier New"/>
          <w:sz w:val="17"/>
        </w:rPr>
        <w:t xml:space="preserve">500 Mikrogramm pro Kubikmeter,</w:t>
      </w:r>
    </w:p>
    <w:p>
      <w:r>
        <w:t xml:space="preserve">gemessen an drei aufeinanderfolgenden Stunden an den von den zuständigen Behörden gemäß Anlage 3 eingerichteten Probenahmestellen, die für die Luftqualität in einem Bereich von mindestens 100 Quadratkilometern oder im gesamten Gebiet oder Ballungsraum repräsentativ sind; maßgebend ist die kleinste dieser Flächen.</w:t>
      </w:r>
    </w:p>
    <w:p>
      <w:r>
        <w:t xml:space="preserve">(4) Zum Schutz der Vegetation beträgt der kritische Wert für Schwefeldioxid für das Kalenderjahr sowie für das Winterhalbjahr (1. Oktober des laufenden Jahres bis 31. März des Folgejahres)</w:t>
      </w:r>
    </w:p>
    <w:p>
      <w:r>
        <w:rPr>
          <w:rFonts w:ascii="Courier New" w:hAnsi="Courier New"/>
          <w:sz w:val="17"/>
        </w:rPr>
        <w:t xml:space="preserve">20 Mikrogramm pro Kubikmeter.</w:t>
      </w:r>
    </w:p>
    <w:p>
      <w:r>
        <w:rPr>
          <w:color w:val="555555"/>
          <w:sz w:val="17"/>
        </w:rPr>
        <w:t xml:space="preserve">Zitiervorschlag: § 2 BImSchV 39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https://recht.nulegal.eu/gesetze/BImSchV%2039/2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BImSchV 39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