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BImSchV 39 — Einstufung der Gebiete und Ballungsräume für Schwefeldioxid, Stickstoffdioxid und Stickstoffoxide, Partikel (PM10 und PM2,5), Blei, Benzol und Kohlenmonoxid</w:t>
      </w:r>
    </w:p>
    <w:p>
      <w:r>
        <w:rPr>
          <w:color w:val="555555"/>
          <w:sz w:val="18"/>
        </w:rPr>
        <w:t xml:space="preserve">Verordnung über Luftqualitätsstandards und Emissionshöchstmengen</w:t>
      </w:r>
    </w:p>
    <w:p>
      <w:r>
        <w:rPr>
          <w:color w:val="555555"/>
          <w:sz w:val="18"/>
        </w:rPr>
        <w:t xml:space="preserve">Stand: 10.06.2019 (konsolidierte Textfassung, kein amtliches Inkrafttretensdatum)</w:t>
      </w:r>
    </w:p>
    <w:p>
      <w:r>
        <w:t xml:space="preserve">(1) Für Schwefeldioxid, Stickstoffdioxid und Stickstoffoxide, Partikel (PM10 und PM2,5), Blei, Benzol und Kohlenmonoxid gelten die in Anlage 2 Abschnitt A festgelegten oberen und unteren Beurteilungsschwellen. Alle Gebiete und Ballungsräume werden anhand dieser Beurteilungsschwellen eingestuft.</w:t>
      </w:r>
    </w:p>
    <w:p>
      <w:r>
        <w:t xml:space="preserve">(2) Die Einstufung nach Absatz 1 wird spätestens alle fünf Jahre gemäß dem in Anlage 2 Abschnitt B festgelegten Verfahren überprüft. Bei signifikanten Änderungen der Aktivitäten, die für die Konzentration von Schwefeldioxid, Stickstoffdioxid oder gegebenenfalls Stickstoffoxiden, Partikeln (PM10 und PM2,5), Blei, Benzol oder Kohlenmonoxid in der Luft von Bedeutung sind, sind die Einstufungen je nach Signifikanz in kürzeren Intervallen zu überprüfen.</w:t>
      </w:r>
    </w:p>
    <w:p>
      <w:r>
        <w:rPr>
          <w:color w:val="555555"/>
          <w:sz w:val="17"/>
        </w:rPr>
        <w:t xml:space="preserve">Zitiervorschlag: § 12 BImSchV 39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https://recht.nulegal.eu/gesetze/BImSchV%2039/12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BImSchV 39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