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BImSchV 38 2017 — Energetische Menge des elektrischen Stroms in anderen Fällen</w:t>
      </w:r>
    </w:p>
    <w:p>
      <w:r>
        <w:rPr>
          <w:color w:val="555555"/>
          <w:sz w:val="18"/>
        </w:rPr>
        <w:t xml:space="preserve">Verordnung zur Festlegung weiterer Bestimmungen zur Treibhausgasminderung bei Kraftstoffen</w:t>
      </w:r>
    </w:p>
    <w:p>
      <w:r>
        <w:rPr>
          <w:color w:val="555555"/>
          <w:sz w:val="18"/>
        </w:rPr>
        <w:t xml:space="preserve">Stand: 09.06.2026 (konsolidierte Textfassung, kein amtliches Inkrafttretensdatum)</w:t>
      </w:r>
    </w:p>
    <w:p>
      <w:r>
        <w:t xml:space="preserve">(1) Die Anrechnung von Strom, der nicht über öffentlich zugängliche Ladepunkte entnommen wurde, auf die Erfüllung der Verpflichtung zur Minderung der Treibhausgasemissionen ist nur dann möglich, sofern dieser Strom für reine Batterieelektrofahrzeuge genutzt wurde und ein Schätzwert nach Absatz 3 bekanntgegeben wurde. Ladepunktbetreiber ist in diesen Fällen die Person, auf die nachweislich das reine Batterieelektrofahrzeug zugelassen ist. Elektrischer Strom zur Verwendung in zulassungsfreien Fahrzeugen gemäß § 3 Absatz 3 der Fahrzeug-Zulassungsverordnung vom 20. Juli 2023 (BGBl. 2023 I Nr. 199, S. 2) kann nur auf die Erfüllung der Verpflichtung zur Minderung der Treibhausgasemissionen angerechnet werden, wenn für die entsprechende Fahrzeugklasse ein eigener Schätzwert nach Absatz 3 bekannt gegeben wurde.</w:t>
      </w:r>
    </w:p>
    <w:p>
      <w:r>
        <w:t xml:space="preserve">(2) Der Dritte nach § 5 Absatz 1 Satz 2 führt Aufzeichnungen über die Personen, auf die nachweislich ein reines Batterieelektrofahrzeug, für das eine Zulassungspflicht nach § 3 der Fahrzeug-Zulassungsverordnung besteht, zugelassen ist, sowie über das reine Batterieelektrofahrzeug selbst. Als Nachweis gilt eine Zulassungsbescheinigung Teil I des reinen Batterieelektrofahrzeugs, die gemäß § 13 Absatz 1 Satz 1 der Fahrzeug-Zulassungsverordnung ausgefertigt worden ist und als Kopie vorgelegt wird. Spätestens nach Ablauf eines Jahres ist eine Kopie der aktuellen Zulassungsbescheinigung Teil I als Nachweis erforderlich. Der Dritte bewahrt die Kopien der Zulassungsbescheinigungen Teil I für die Dauer von drei Jahren auf. Für Fahrzeuge nach § 3 Absatz 3 der Fahrzeug-Zulassungsverordnung gilt als Nachweis die Übereinstimmungsbescheinigung im Sinne des § 2 Satz 1 Nummer 7 der Fahrzeug-Zulassungsverordnung. Bei der Mitteilung nach § 8 fügt der Dritte die Aufzeichnungen bei. Die nach § 20 Absatz 1 zuständige Stelle kann Näheres zum Format und dem Inhalt der Aufzeichnungen nach Satz 3 im Bundesanzeiger bekannt geben.</w:t>
      </w:r>
    </w:p>
    <w:p>
      <w:r>
        <w:t xml:space="preserve">(3) Das Bundesministerium für Umwelt, Naturschutz und nukleare Sicherheit gibt die Schätzwerte der anrechenbaren energetischen Mengen elektrischen Stroms für reine Batterieelektrofahrzeuge im Bundesanzeiger bekannt. Der Schätzwert basiert auf aktuellen Daten über den durchschnittlichen Stromverbrauch von reinen Batterieelektrofahrzeugen in Deutschland.</w:t>
      </w:r>
    </w:p>
    <w:p>
      <w:r>
        <w:t xml:space="preserve">(4) Die energetische Menge des im jeweiligen Verpflichtungsjahr nach § 5 anrechenbaren elektrischen Stroms ergibt sich durch die Multiplikation der Zahl der reinen Batterieelektrofahrzeuge, die nach Absatz 2 zu den Dritten gerechnet werden, mit dem Schätzwert. Die Anrechnung der dem jeweiligen Schätzwert entsprechenden Strommenge kann pro reinem Batterieelektrofahrzeug und pro Verpflichtungsjahr nur einmal erfolgen.</w:t>
      </w:r>
    </w:p>
    <w:p>
      <w:r>
        <w:t xml:space="preserve">(5) Wird in einem Verpflichtungsjahr ein reines Batterieelektrofahrzeug, für dessen Strommenge bereits eine Mitteilung über die energetische Menge des elektrischen Stroms nach § 8 Absatz 1 Satz 1 erfolgte, auf eine andere Person zugelassen, hat die Person, auf die das Fahrzeug bisher zugelassen war, die andere Person über diese Mitteilung zu informieren. Ein Hinweis auf diese Informationspflicht ist in die Vereinbarung nach § 5 Absatz 2 Satz 1 aufzunehmen.</w:t>
      </w:r>
    </w:p>
    <w:p>
      <w:r>
        <w:t xml:space="preserve">(6) Abweichend von § 5 Absatz 3 Satz 1 wird die energetische Menge elektrischen Stroms, die für reine Batterieelektrofahrzeuge der Klasse M3 und N3 nach Anlage XXIX Abschnitt 1 Nummer 1 und 2 der Straßenverkehrs-Zulassungs-Ordnung vom 26. April 2012 (BGBl. I S. 679), die zuletzt durch Artikel 1 der Verordnung vom 10. Juni 2024 (BGBl. 2024 I Nr. 191) geändert worden ist, genutzt wurde, multipliziert mit</w:t>
      </w:r>
    </w:p>
    <w:p>
      <w:pPr>
        <w:ind w:left="420"/>
      </w:pPr>
      <w:r>
        <w:t xml:space="preserve">1. dem Faktor 4 ab dem Kalenderjahr 2027,</w:t>
      </w:r>
    </w:p>
    <w:p>
      <w:pPr>
        <w:ind w:left="420"/>
      </w:pPr>
      <w:r>
        <w:t xml:space="preserve">2. dem Faktor 3,5 ab dem Kalenderjahr 2035,</w:t>
      </w:r>
    </w:p>
    <w:p>
      <w:pPr>
        <w:ind w:left="420"/>
      </w:pPr>
      <w:r>
        <w:t xml:space="preserve">3. dem Faktor 3 ab dem Kalenderjahr 2036,</w:t>
      </w:r>
    </w:p>
    <w:p>
      <w:pPr>
        <w:ind w:left="420"/>
      </w:pPr>
      <w:r>
        <w:t xml:space="preserve">4. dem Faktor 2,5 ab dem Kalenderjahr 2037,</w:t>
      </w:r>
    </w:p>
    <w:p>
      <w:pPr>
        <w:ind w:left="420"/>
      </w:pPr>
      <w:r>
        <w:t xml:space="preserve">5. dem Faktor 2 ab dem Kalenderjahr 2038,</w:t>
      </w:r>
    </w:p>
    <w:p>
      <w:pPr>
        <w:ind w:left="420"/>
      </w:pPr>
      <w:r>
        <w:t xml:space="preserve">6. dem Faktor 1,5 ab dem Kalenderjahr 2039,</w:t>
      </w:r>
    </w:p>
    <w:p>
      <w:pPr>
        <w:ind w:left="420"/>
      </w:pPr>
      <w:r>
        <w:t xml:space="preserve">7. dem Faktor 1 ab dem Kalenderjahr 2040.</w:t>
      </w:r>
    </w:p>
    <w:p>
      <w:r>
        <w:t xml:space="preserve">§ 5 Absatz 3 Satz 2 gilt entsprechend.</w:t>
      </w:r>
    </w:p>
    <w:p>
      <w:r>
        <w:rPr>
          <w:color w:val="555555"/>
          <w:sz w:val="17"/>
        </w:rPr>
        <w:t xml:space="preserve">Zitiervorschlag: § 7 BImSchV 38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https://recht.nulegal.eu/gesetze/BImSchV%2038%202017/7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