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BImSchV 38 2017 — Zuständige Stellen</w:t>
      </w:r>
    </w:p>
    <w:p>
      <w:r>
        <w:rPr>
          <w:color w:val="555555"/>
          <w:sz w:val="18"/>
        </w:rPr>
        <w:t xml:space="preserve">Verordnung zur Festlegung weiterer Bestimmungen zur Treibhausgasminderung bei Kraftstoffen</w:t>
      </w:r>
    </w:p>
    <w:p>
      <w:r>
        <w:rPr>
          <w:color w:val="555555"/>
          <w:sz w:val="18"/>
        </w:rPr>
        <w:t xml:space="preserve">Stand: 09.06.2026 (konsolidierte Textfassung, kein amtliches Inkrafttretensdatum)</w:t>
      </w:r>
    </w:p>
    <w:p>
      <w:r>
        <w:t xml:space="preserve">(1) Das Umweltbundesamt ist zuständig für</w:t>
      </w:r>
    </w:p>
    <w:p>
      <w:pPr>
        <w:ind w:left="420"/>
      </w:pPr>
      <w:r>
        <w:t xml:space="preserve">1. die Ermittlung und Bekanntgabe der Werte der durchschnittlichen Treibhausgasemissionen nach § 5 Absatz 4 und 5,</w:t>
      </w:r>
    </w:p>
    <w:p>
      <w:pPr>
        <w:ind w:left="420"/>
      </w:pPr>
      <w:r>
        <w:t xml:space="preserve">2. die Prüfung der nach § 8 Absatz 1 mitgeteilten energetischen Menge elektrischen Stroms,</w:t>
      </w:r>
    </w:p>
    <w:p>
      <w:pPr>
        <w:ind w:left="420"/>
      </w:pPr>
      <w:r>
        <w:t xml:space="preserve">3. die Ausstellung von Bescheinigungen über die nach § 8 Absatz 2 mitgeteilte energetische Menge elektrischen Stroms und</w:t>
      </w:r>
    </w:p>
    <w:p>
      <w:pPr>
        <w:ind w:left="420"/>
      </w:pPr>
      <w:r>
        <w:t xml:space="preserve">4. die Bekanntgabe nach § 7 Absatz 2 und § 8 Absatz 3.</w:t>
      </w:r>
    </w:p>
    <w:p>
      <w:r>
        <w:t xml:space="preserve">(2) Das Hauptzollamt Frankfurt (Oder) ist zuständig für</w:t>
      </w:r>
    </w:p>
    <w:p>
      <w:pPr>
        <w:ind w:left="420"/>
      </w:pPr>
      <w:r>
        <w:t xml:space="preserve">1. eine Anrechnung von in Straßenfahrzeugen mit Elektroantrieb genutztem elektrischem Strom nach § 5 Absatz 1,</w:t>
      </w:r>
    </w:p>
    <w:p>
      <w:pPr>
        <w:ind w:left="420"/>
      </w:pPr>
      <w:r>
        <w:t xml:space="preserve">2. die Anrechnung von biogenem Flüssiggas nach § 12,</w:t>
      </w:r>
    </w:p>
    <w:p>
      <w:pPr>
        <w:ind w:left="420"/>
      </w:pPr>
      <w:r>
        <w:t xml:space="preserve">3. die Anrechnung von verflüssigtem Biomethan nach § 12a,</w:t>
      </w:r>
    </w:p>
    <w:p>
      <w:pPr>
        <w:ind w:left="420"/>
      </w:pPr>
      <w:r>
        <w:t xml:space="preserve">4. die Überwachung der Einhaltung der Obergrenze für Biokraftstoffe aus Nahrungs- und Futtermittelpflanzen nach § 13,</w:t>
      </w:r>
    </w:p>
    <w:p>
      <w:pPr>
        <w:ind w:left="420"/>
      </w:pPr>
      <w:r>
        <w:t xml:space="preserve">5. die Überwachung der Einhaltung der Obergrenze für abfallbasierte Biokraftstoffe nach § 13a,</w:t>
      </w:r>
    </w:p>
    <w:p>
      <w:pPr>
        <w:ind w:left="420"/>
      </w:pPr>
      <w:r>
        <w:t xml:space="preserve">6. die Überwachung der Einhaltung der Obergrenze für Biokraftstoffe mit hohem Risiko indirekter Landnutzungsänderung nach § 13b,</w:t>
      </w:r>
    </w:p>
    <w:p>
      <w:pPr>
        <w:ind w:left="420"/>
      </w:pPr>
      <w:r>
        <w:t xml:space="preserve">7. die Überwachung der Erfüllung des Mindestanteils an fortschrittlichen Kraftstoffen nach § 14 und</w:t>
      </w:r>
    </w:p>
    <w:p>
      <w:pPr>
        <w:ind w:left="420"/>
      </w:pPr>
      <w:r>
        <w:t xml:space="preserve">8. die Übermittlung der Daten nach § 16.</w:t>
      </w:r>
    </w:p>
    <w:p>
      <w:r>
        <w:t xml:space="preserve">(3) Zuständige Stelle im Sinne des § 37m Absatz 1 Satz 1 des Bundes-Immissionsschutzgesetzes ist das Hauptzollamt Frankfurt (Oder).</w:t>
      </w:r>
    </w:p>
    <w:p>
      <w:r>
        <w:rPr>
          <w:color w:val="555555"/>
          <w:sz w:val="17"/>
        </w:rPr>
        <w:t xml:space="preserve">Zitiervorschlag: § 20 BImSchV 38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https://recht.nulegal.eu/gesetze/BImSchV%2038%202017/20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