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BImSchV 38 2017 — Anwendungsbereich</w:t>
      </w:r>
    </w:p>
    <w:p>
      <w:r>
        <w:rPr>
          <w:color w:val="555555"/>
          <w:sz w:val="18"/>
        </w:rPr>
        <w:t xml:space="preserve">Verordnung zur Festlegung weiterer Bestimmungen zur Treibhausgasminderung bei Kraftstoffen</w:t>
      </w:r>
    </w:p>
    <w:p>
      <w:r>
        <w:rPr>
          <w:color w:val="555555"/>
          <w:sz w:val="18"/>
        </w:rPr>
        <w:t xml:space="preserve">Stand: 09.06.2026 (konsolidierte Textfassung, kein amtliches Inkrafttretensdatum)</w:t>
      </w:r>
    </w:p>
    <w:p>
      <w:r>
        <w:t xml:space="preserve">Diese Verordnung regelt Modalitäten zur Erfüllung der Verpflichtung zur Minderung der Treibhausgasemissionen nach § 37a Absatz 1 Satz 1 und 2 in Verbindung mit § 37a Absatz 4 des Bundes-Immissionsschutzgesetzes, zu den Berichtspflichten nach § 37f des Bundes-Immissionsschutzgesetzes. Ferner bestimmt diese Verordnung die zuständige Stelle nach § 37m Absatz 1 Satz 1 des Bundes-Immissionsschutzgesetzes.</w:t>
      </w:r>
    </w:p>
    <w:p>
      <w:r>
        <w:rPr>
          <w:color w:val="555555"/>
          <w:sz w:val="17"/>
        </w:rPr>
        <w:t xml:space="preserve">Zitiervorschlag: § 1 BImSchV 38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https://recht.nulegal.eu/gesetze/BImSchV%2038%202017/1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