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BImSchV 37</w:t>
      </w:r>
    </w:p>
    <w:p>
      <w:r>
        <w:rPr>
          <w:color w:val="555555"/>
          <w:sz w:val="18"/>
        </w:rPr>
        <w:t xml:space="preserve">Siebenunddreißigste Verordnung zur Durchführung des Bundes-Immissionsschutzgesetzes (Verordnung zur Anrechnung von strombasierten Kraftstoffen und mitverarbeiteten biogenen Ölen auf die Treibhausgasquote)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Auf Grund des § 37d Absatz 1 Satz 2, Absatz 2 Satz 1 Nummer 1 Buchstabe a und c, Nummer 13 und 15 Buchstabe d und Absatz 3 in Verbindung mit Absatz 2 Satz 2 und 3 des Bundes-Immissionsschutzgesetzes, der zuletzt durch Artikel 1 Nummer 7 des Gesetzes vom 20. November 2014 (BGBl. I S. 1740) geändert worden ist, verordnet die Bundesregierung nach Anhörung der beteiligten Kreise und nach Zustimmung des Deutschen Bundestages:</w:t>
      </w:r>
    </w:p>
    <w:p>
      <w:r>
        <w:rPr>
          <w:color w:val="555555"/>
          <w:sz w:val="17"/>
        </w:rPr>
        <w:t xml:space="preserve">Zitiervorschlag: Eingangsformel BImSchV 37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https://recht.nulegal.eu/gesetze/BImSchV%2037/eingangsformel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BImSchV 37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