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BImSchV 36 — Klimatisch abhängige Anforderungen für beigemischte Fettsäuremethylester (FAME)</w:t>
      </w:r>
    </w:p>
    <w:p>
      <w:r>
        <w:rPr>
          <w:color w:val="555555"/>
          <w:sz w:val="18"/>
        </w:rPr>
        <w:t xml:space="preserve">Sechsunddreißigste Verordnung zur Durchführung des Bundes-Immissionsschutzgesetzes (Verordnung zur Durchführung der Regelungen der Biokraftstoffquote)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FAME Dieselkraftstoff beigemischt, gelten abweichend von § 37b Absatz 2 des Bundes-Immissionsschutzgesetzes in Verbindung mit § 5 der Verordnung über die Beschaffenheit und die Auszeichnung der Qualitäten von Kraft- und Brennstoffen vom 8. Dezember 2010 (BGBl. I S. 1849), die durch Artikel 1 der Verordnung vom 1. Dezember 2014 (BGBl. I S. 1890) geändert worden ist, die in der DIN EN 14214, Ausgabe April 2010, im Nationalen Anhang NB unter Punkt 3 geregelten klimatisch abhängigen Anforderungen für den FAME-Anteil mit der Maßgabe, dass für den Zeitraum vom 16. November eines Jahres bis zum 28. Februar, in Schaltjahren bis zum 29. Februar, des Folgejahres der CFPP-Wert höchstens -10 Grad C beträgt; der FAME-Anteil muss jedoch so beschaffen sein, dass durch Hinzufügung geeigneter Additive ein CFPP-Wert von -20 Grad C erreicht werden könnte. Der Verpflichtete hat dies der nach § 8 zuständigen Stelle auf deren Verlangen durch eine entsprechende Bescheinigung des Herstellers oder mit Zustimmung der nach § 8 zuständigen Stelle in anderer geeigneter Form nachzuweisen.</w:t>
      </w:r>
    </w:p>
    <w:p>
      <w:r>
        <w:rPr>
          <w:color w:val="555555"/>
          <w:sz w:val="17"/>
        </w:rPr>
        <w:t xml:space="preserve">Zitiervorschlag: § 5 BImSchV 36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https://recht.nulegal.eu/gesetze/BImSchV%2036/5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BImSchV 36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