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BImSchV 34</w:t>
      </w:r>
    </w:p>
    <w:p>
      <w:r>
        <w:rPr>
          <w:color w:val="555555"/>
          <w:sz w:val="18"/>
        </w:rPr>
        <w:t xml:space="preserve">Vierunddreißigste Verordnung zur Durchführung des Bundes-Immissionsschutzgesetzes (Verordnung über die Lärmkartierung)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47f des Bundes-Immissionsschutzgesetzes, der durch Artikel 1 des Gesetzes zur Umsetzung der EG-Richtlinie über die Bewertung und Bekämpfung von Umgebungslärm vom 24. Juni 2005 (BGBl. I S. 1794) eingefügt worden ist, verordnet die Bundesregierung nach Anhörung der beteiligten Kreise:</w:t>
      </w:r>
    </w:p>
    <w:p>
      <w:r>
        <w:rPr>
          <w:color w:val="555555"/>
          <w:sz w:val="17"/>
        </w:rPr>
        <w:t xml:space="preserve">Zitiervorschlag: Eingangsformel BImSchV 34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https://recht.nulegal.eu/gesetze/BImSchV%2034/eingangsformel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BImSchV 34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