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BImSchV 31 2024 — Andere oder weitergehende Anforderungen</w:t>
      </w:r>
    </w:p>
    <w:p>
      <w:r>
        <w:rPr>
          <w:color w:val="555555"/>
          <w:sz w:val="18"/>
        </w:rPr>
        <w:t xml:space="preserve">Verordnung zur Begrenzung der Emissionen flüchtiger organischer Verbindungen bei der Verwendung organischer Lösungsmittel in bestimmten Anlagen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Die Befugnis der zuständigen Behörde, auf Grund des Bundes-Immissionsschutzgesetzes andere oder weitergehende Anordnungen zu treffen, bleibt unberührt, soweit die Anforderungen der Richtlinie 2010/75/EU nicht entgegenstehen.</w:t>
      </w:r>
    </w:p>
    <w:p>
      <w:r>
        <w:rPr>
          <w:color w:val="555555"/>
          <w:sz w:val="17"/>
        </w:rPr>
        <w:t xml:space="preserve">Zitiervorschlag: § 10 BImSchV 31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https://recht.nulegal.eu/gesetze/BImSchV%2031%202024/10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BImSchV 31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