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BImSchV 30 — Mindestabstand</w:t>
      </w:r>
    </w:p>
    <w:p>
      <w:r>
        <w:rPr>
          <w:color w:val="555555"/>
          <w:sz w:val="18"/>
        </w:rPr>
        <w:t xml:space="preserve">Verordnung über Anlagen zur biologischen Behandlung von Abfällen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Errichtung von biologischen Abfallbehandlungsanlagen soll ein Mindestabstand von 300 Meter zur nächsten vorhandenen oder in einem Bebauungsplan festgesetzten Wohnbebauung nicht unterschritten werden.</w:t>
      </w:r>
    </w:p>
    <w:p>
      <w:r>
        <w:rPr>
          <w:color w:val="555555"/>
          <w:sz w:val="17"/>
        </w:rPr>
        <w:t xml:space="preserve">Zitiervorschlag: § 3 BImSchV 30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https://recht.nulegal.eu/gesetze/BImSchV%2030/3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