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BImSchV 28 2021</w:t>
      </w:r>
    </w:p>
    <w:p>
      <w:r>
        <w:rPr>
          <w:color w:val="555555"/>
          <w:sz w:val="18"/>
        </w:rPr>
        <w:t xml:space="preserve">Verordnung zur Durchführung der unionsrechtlichen Verordnung über Emissionsgrenzwerte und die Typgenehmigung für Verbrennungsmotoren für nicht für den Straßenverkehr bestimmte mobile Maschinen und Geräte</w:t>
      </w:r>
    </w:p>
    <w:p>
      <w:r>
        <w:rPr>
          <w:color w:val="555555"/>
          <w:sz w:val="18"/>
        </w:rPr>
        <w:t xml:space="preserve">Stand: 29.07.2021 (konsolidierte Textfassung, kein amtliches Inkrafttretensdatum)</w:t>
      </w:r>
    </w:p>
    <w:p>
      <w:r>
        <w:t xml:space="preserve">Es verordnen auf Grund</w:t>
      </w:r>
    </w:p>
    <w:p>
      <w:pPr>
        <w:ind w:left="420"/>
      </w:pPr>
      <w:r>
        <w:t xml:space="preserve">– des § 33 Absatz 1 Nummer 1 bis 3 des BundesImmissionsschutzgesetzes in der Fassung der Bekanntmachung von 17. Mai 2013 (BGBl. I S. 1274) die Bundesregierung nach Anhörung der beteiligten Kreise,</w:t>
      </w:r>
    </w:p>
    <w:p>
      <w:pPr>
        <w:ind w:left="420"/>
      </w:pPr>
      <w:r>
        <w:t xml:space="preserve">– der §§ 37 und 48a Absatz 3 des Bundes-Immissionsschutzgesetzes, von denen § 37 Satz 2 durch Artikel 76 Nummer 1 der Verordnung vom 31. August 2015 (BGBl. I S. 1474) geändert worden ist, die Bundesregierung,</w:t>
      </w:r>
    </w:p>
    <w:p>
      <w:pPr>
        <w:ind w:left="420"/>
      </w:pPr>
      <w:r>
        <w:t xml:space="preserve">– des § 62 Absatz 3 Satz 2 des Bundes-Immissionsschutzgesetzes, der durch Artikel 76 Nummer 3 der Verordnung vom 31. August 2015 (BGBl. I S. 1474) geändert worden ist, in Verbindung mit § 1 Absatz 2 des Zuständigkeitsanpassungsgesetzes vom 16. August 2002 (BGBl. I S. 3165) und dem Organisationserlass vom 14. März 2018 (BGBl. I S. 374) das Bundesministerium für Umwelt, Naturschutz und nukleare Sicherheit,</w:t>
      </w:r>
    </w:p>
    <w:p>
      <w:pPr>
        <w:ind w:left="420"/>
      </w:pPr>
      <w:r>
        <w:t xml:space="preserve">– des § 36 Absatz 3 des Gesetzes über Ordnungswidrigkeiten, der durch Artikel 1 Nummer 5 Buchstabe b des Gesetzes vom 26. Januar 1998 (BGBl. I S. 156) geändert worden ist, das Bundesministerium für Umwelt, Naturschutz und nukleare Sicherheit:</w:t>
      </w:r>
    </w:p>
    <w:p>
      <w:r>
        <w:rPr>
          <w:color w:val="555555"/>
          <w:sz w:val="17"/>
        </w:rPr>
        <w:t xml:space="preserve">Zitiervorschlag: Eingangsformel BImSchV 28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https://recht.nulegal.eu/gesetze/BImSchV%2028%202021/eingangsformel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BImSchV 28 2021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