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BImSchV 28 2021 — Verhaltenspflichten</w:t>
      </w:r>
    </w:p>
    <w:p>
      <w:r>
        <w:rPr>
          <w:color w:val="555555"/>
          <w:sz w:val="18"/>
        </w:rPr>
        <w:t xml:space="preserve">Verordnung zur Durchführung der unionsrechtlichen Verordnung über Emissionsgrenzwerte und die Typgenehmigung für Verbrennungsmotoren für nicht für den Straßenverkehr bestimmte mobile Maschinen und Geräte</w:t>
      </w:r>
    </w:p>
    <w:p>
      <w:r>
        <w:rPr>
          <w:color w:val="555555"/>
          <w:sz w:val="18"/>
        </w:rPr>
        <w:t xml:space="preserve">Stand: 29.07.2021 (konsolidierte Textfassung, kein amtliches Inkrafttretensdatum)</w:t>
      </w:r>
    </w:p>
    <w:p>
      <w:r>
        <w:t xml:space="preserve">(1) Marktteilnehmer haben bei der Angabe von Tatsachen zur Geltendmachung einer Ausnahme im Sinne des Artikels 34 Absatz 1, 2 Unterabsatz 1, Absatz 4, 5, 6, 7 und 8 und des Artikels 35 Absatz 1 der Verordnung (EU) 2016/1628 und in Verwaltungsverfahren zum Zwecke des Rückrufs von Motoren wahrheitsgemäße Angaben zu machen.</w:t>
      </w:r>
    </w:p>
    <w:p>
      <w:r>
        <w:t xml:space="preserve">(2) Der Hersteller hat sicherzustellen, dass die Ergebnisse der Prüfung von Motoren nach Artikel 19 Absatz 1 der Verordnung (EU) 2016/1628 wahrheitsgemäß festgehalten werden.</w:t>
      </w:r>
    </w:p>
    <w:p>
      <w:r>
        <w:t xml:space="preserve">(3) Wer einen Übergangsmotor in Verkehr bringt, hat sicherzustellen, dass der Übergangsmotor mindestens eine der in Artikel 58 Absatz 6 der Verordnung (EU) 2016/1628 genannten Anforderungen erfüllt. Satz 1 gilt auch für mobile Maschinen, in die ein solcher Übergangsmotor eingebaut ist.</w:t>
      </w:r>
    </w:p>
    <w:p>
      <w:r>
        <w:t xml:space="preserve">(4) Wer Übergangsmotoren oder Austauschmotoren in Verkehr bringt, hat sicherzustellen, dass diese Motoren als solche gekennzeichnet sind. Die Kennzeichnung richtet sich nach Anhang III der Durchführungsverordnung (EU) 2017/656 in der jeweils geltenden Fassung.</w:t>
      </w:r>
    </w:p>
    <w:p>
      <w:r>
        <w:t xml:space="preserve">(5) Motoren, die für einen besonderen Zweck im Sinne des Artikels 34 Absatz 5 oder 6 der Verordnung (EU) 2016/1628 genehmigt sind, dürfen nur zu diesem besonderen Zweck in Verkehr gebracht werden.</w:t>
      </w:r>
    </w:p>
    <w:p>
      <w:r>
        <w:t xml:space="preserve">(6) Motoren, die unter den Voraussetzungen des Artikels 34 Absatz 7 oder 8, des Artikels 35 Absatz 4 oder des Artikels 58 Absatz 9, 10 oder 11 der Verordnung (EU) 2016/1628 genehmigt sind, dürfen nur unter diesen Voraussetzungen in Verkehr gebracht werden.</w:t>
      </w:r>
    </w:p>
    <w:p>
      <w:r>
        <w:rPr>
          <w:color w:val="555555"/>
          <w:sz w:val="17"/>
        </w:rPr>
        <w:t xml:space="preserve">Zitiervorschlag: § 2 BImSchV 28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https://recht.nulegal.eu/gesetze/BImSchV%2028%202021/2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