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BImSchV 27 — Anzeige</w:t>
      </w:r>
    </w:p>
    <w:p>
      <w:r>
        <w:rPr>
          <w:color w:val="555555"/>
          <w:sz w:val="18"/>
        </w:rPr>
        <w:t xml:space="preserve">Verordnung über Anlagen zur Feuerbestattung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Betreiber einer Anlage hat diese der zuständigen Behörde spätestens einen Monat vor der Inbetriebnahme anzuzeigen.</w:t>
      </w:r>
    </w:p>
    <w:p>
      <w:r>
        <w:rPr>
          <w:color w:val="555555"/>
          <w:sz w:val="17"/>
        </w:rPr>
        <w:t xml:space="preserve">Zitiervorschlag: § 6 BImSchV 27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https://recht.nulegal.eu/gesetze/BImSchV%2027/6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BImSchV 27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