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BImSchV 25 — Anlagen nach dem Sulfatverfahren</w:t>
      </w:r>
    </w:p>
    <w:p>
      <w:r>
        <w:rPr>
          <w:color w:val="555555"/>
          <w:sz w:val="18"/>
        </w:rPr>
        <w:t xml:space="preserve">Verordnung zur Begrenzung von Emissionen aus der Titandioxid-Industrie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Emissionen an Staub dürfen bei Anlagen nach dem Sulfatverfahren einen Emissionsgrenzwert von 30 Milligramm je Kubikmeter, bezogen auf 20 Prozent Luftsauerstoff, als Tagesmittelwert nicht überschreiten.</w:t>
      </w:r>
    </w:p>
    <w:p>
      <w:r>
        <w:t xml:space="preserve">(2) Die in der Aufschluss- und Kalzinierungsphase anfallenden Emissionen an Schwefeldioxid und Schwefeltrioxid einschließlich Schwefelsäuretröpfchen, angegeben als Schwefeldioxid, dürfen einen Emissionsgrenzwert von einem halben Gramm je Kubikmeter als Tagesmittelwert sowie das Massenverhältnis von 4 Kilogramm je Tonne erzeugtem Titandioxid als Jahresmittelwert der gesamten Anlage nicht überschreiten. Die Anlagen sind mit Einrichtungen zur Vermeidung der Emission von Schwefelsäuretröpfchen auszurüsten.</w:t>
      </w:r>
    </w:p>
    <w:p>
      <w:r>
        <w:t xml:space="preserve">(3) Die bei der Aufkonzentrierung von Abfallsäuren anfallenden Emissionen an Schwefeldioxid und Schwefeltrioxid, angegeben als Schwefeldioxid, dürfen einen Emissionsgrenzwert von ein Viertel Gramm je Kubikmeter als Tagesmittelwert nicht überschreiten.</w:t>
      </w:r>
    </w:p>
    <w:p>
      <w:r>
        <w:rPr>
          <w:color w:val="555555"/>
          <w:sz w:val="17"/>
        </w:rPr>
        <w:t xml:space="preserve">Zitiervorschlag: § 3 BImSchV 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https://recht.nulegal.eu/gesetze/BImSchV%2025/3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BImSchV 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