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BImSchV 21 — Ordnungswidrigkeiten</w:t>
      </w:r>
    </w:p>
    <w:p>
      <w:r>
        <w:rPr>
          <w:color w:val="555555"/>
          <w:sz w:val="18"/>
        </w:rPr>
        <w:t xml:space="preserve">Verordnung zur Begrenzung der Kohlenwasserstoffemissionen bei der Betankung von Kraftfahrzeugen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62 Absatz 1 Nummer 7 des Bundes-Immissionsschutzgesetzes handelt, wer vorsätzlich oder fahrlässig</w:t>
      </w:r>
    </w:p>
    <w:p>
      <w:pPr>
        <w:ind w:left="420"/>
      </w:pPr>
      <w:r>
        <w:t xml:space="preserve">1. entgegen § 3 Absatz 1 eine Tankstelle nicht richtig errichtet oder nicht richtig betreibt,</w:t>
      </w:r>
    </w:p>
    <w:p>
      <w:pPr>
        <w:ind w:left="420"/>
      </w:pPr>
      <w:r>
        <w:t xml:space="preserve">2. entgegen § 3 Absatz 2 Satz 1 eine Tankstelle betreibt,</w:t>
      </w:r>
    </w:p>
    <w:p>
      <w:pPr>
        <w:ind w:left="420"/>
      </w:pPr>
      <w:r>
        <w:t xml:space="preserve">3. entgegen § 3 Absatz 2 Satz 2 oder § 5 Absatz 6 Satz 3, Absatz 8 oder Absatz 9 Satz 2 eine dort genannte Unterlage nicht oder nicht rechtzeitig vorlegt,</w:t>
      </w:r>
    </w:p>
    <w:p>
      <w:pPr>
        <w:ind w:left="420"/>
      </w:pPr>
      <w:r>
        <w:t xml:space="preserve">4. entgegen § 3 Absatz 3 oder Absatz 4 ein Gasrückführungssystem nicht richtig errichtet oder nicht richtig betreibt,</w:t>
      </w:r>
    </w:p>
    <w:p>
      <w:pPr>
        <w:ind w:left="420"/>
      </w:pPr>
      <w:r>
        <w:t xml:space="preserve">5. entgegen § 4 eine Messöffnung nicht oder nicht rechtzeitig einrichtet,</w:t>
      </w:r>
    </w:p>
    <w:p>
      <w:pPr>
        <w:ind w:left="420"/>
      </w:pPr>
      <w:r>
        <w:t xml:space="preserve">6. entgegen § 5 Absatz 1 eine Anzeige nicht, nicht richtig, nicht vollständig oder nicht rechtzeitig erstattet,</w:t>
      </w:r>
    </w:p>
    <w:p>
      <w:pPr>
        <w:ind w:left="420"/>
      </w:pPr>
      <w:r>
        <w:t xml:space="preserve">7. entgegen § 5 Absatz 2 Satz 1 oder Absatz 3 die Einhaltung einer dort genannten Anforderung nicht oder nicht rechtzeitig feststellen lässt,</w:t>
      </w:r>
    </w:p>
    <w:p>
      <w:pPr>
        <w:ind w:left="420"/>
      </w:pPr>
      <w:r>
        <w:t xml:space="preserve">8. entgegen § 5 Absatz 4 eine Tankstelle nicht oder nicht rechtzeitig instand setzt oder eine Wiederholungsüberprüfung nicht oder nicht rechtzeitig durchführen lässt,</w:t>
      </w:r>
    </w:p>
    <w:p>
      <w:pPr>
        <w:ind w:left="420"/>
      </w:pPr>
      <w:r>
        <w:t xml:space="preserve">9. entgegen § 5 Absatz 5 Satz 2, Absatz 8 oder Absatz 9 Satz 2 eine dort genannte Unterlage nicht oder nicht für die vorgeschriebene Dauer aufbewahrt,</w:t>
      </w:r>
    </w:p>
    <w:p>
      <w:pPr>
        <w:ind w:left="420"/>
      </w:pPr>
      <w:r>
        <w:t xml:space="preserve">10. entgegen § 5 Absatz 5 Satz 3 eine Durchschrift nicht oder nicht rechtzeitig zuleitet,</w:t>
      </w:r>
    </w:p>
    <w:p>
      <w:pPr>
        <w:ind w:left="420"/>
      </w:pPr>
      <w:r>
        <w:t xml:space="preserve">11. entgegen § 5 Absatz 6 Satz 1 ein Gasrückführungssystem nicht oder nicht rechtzeitig überprüfen oder nicht oder nicht rechtzeitig instand setzen lässt,</w:t>
      </w:r>
    </w:p>
    <w:p>
      <w:pPr>
        <w:ind w:left="420"/>
      </w:pPr>
      <w:r>
        <w:t xml:space="preserve">12. entgegen § 5 Absatz 7 Satz 1 nicht sicherstellt, dass eine signalisierte Störung unverzüglich behoben wird,</w:t>
      </w:r>
    </w:p>
    <w:p>
      <w:pPr>
        <w:ind w:left="420"/>
      </w:pPr>
      <w:r>
        <w:t xml:space="preserve">13. entgegen § 5 Absatz 9 Satz 1 den jährlichen Durchsatz nicht, nicht richtig oder nicht rechtzeitig erfasst,</w:t>
      </w:r>
    </w:p>
    <w:p>
      <w:pPr>
        <w:ind w:left="420"/>
      </w:pPr>
      <w:r>
        <w:t xml:space="preserve">14. entgegen § 6 Absatz 1 ein Schild, einen Aufkleber oder eine Mitteilung nicht, nicht richtig oder nicht rechtzeitig anbringt.</w:t>
      </w:r>
    </w:p>
    <w:p>
      <w:r>
        <w:rPr>
          <w:color w:val="555555"/>
          <w:sz w:val="17"/>
        </w:rPr>
        <w:t xml:space="preserve">Zitiervorschlag: § 9 BImSchV 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https://recht.nulegal.eu/gesetze/BImSchV%2021/9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