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BImSchV 21 — Zugänglichkeit der Normen</w:t>
      </w:r>
    </w:p>
    <w:p>
      <w:r>
        <w:rPr>
          <w:color w:val="555555"/>
          <w:sz w:val="18"/>
        </w:rPr>
        <w:t xml:space="preserve">Verordnung zur Begrenzung der Kohlenwasserstoffemissionen bei der Betankung von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VDI-Richtlinien, auf die in dieser Verordnung verwiesen wird, sind bei der Beuth Verlag GmbH, Berlin, zu beziehen und bei der Deutschen Nationalbibliothek archivmäßig gesichert niedergelegt.</w:t>
      </w:r>
    </w:p>
    <w:p>
      <w:r>
        <w:rPr>
          <w:color w:val="555555"/>
          <w:sz w:val="17"/>
        </w:rPr>
        <w:t xml:space="preserve">Zitiervorschlag: § 8 BImSchV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