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BImSchV 21 — Errichtung und Betrieb von Tankstellen</w:t>
      </w:r>
    </w:p>
    <w:p>
      <w:r>
        <w:rPr>
          <w:color w:val="555555"/>
          <w:sz w:val="18"/>
        </w:rPr>
        <w:t xml:space="preserve">Verordnung zur Begrenzung der Kohlenwasserstoffemissionen bei der Betankung von Kraftfahrzeugen</w:t>
      </w:r>
    </w:p>
    <w:p>
      <w:r>
        <w:rPr>
          <w:color w:val="555555"/>
          <w:sz w:val="18"/>
        </w:rPr>
        <w:t xml:space="preserve">Stand: 10.06.2019 (konsolidierte Textfassung, kein amtliches Inkrafttretensdatum)</w:t>
      </w:r>
    </w:p>
    <w:p>
      <w:r>
        <w:t xml:space="preserve">(1) Tankstellen sind so zu errichten und zu betreiben, dass die beim Betanken von Fahrzeugen mit Ottokraftstoff oder einem Kraftstoffgemisch im Fahrzeugtank verdrängten Kraftstoffdämpfe nach dem Stand der Technik mittels eines Gasrückführungssystems erfasst und dem Lagertank der Tankstelle zugeführt werden.</w:t>
      </w:r>
    </w:p>
    <w:p>
      <w:r>
        <w:t xml:space="preserve">(2) Tankstellen dürfen nur betrieben werden, wenn für das eingesetzte Gasrückführungssystem durch eine Bescheinigung des Herstellers belegt worden ist, dass sein von einer zugelassenen Überwachungsstelle oder einem öffentlich bestellten und vereidigten Sachverständigen unter Prüfbedingungen nach dem Verfahren gemäß Nummer 5.2 der DIN EN 16321-1, Ausgabe Dezember 2013, ermittelter Wirkungsgrad 85 vom Hundert nicht unterschreitet. Die Bescheinigung ist am Betriebsort aufzubewahren und der zuständigen Behörde auf Verlangen vorzulegen.</w:t>
      </w:r>
    </w:p>
    <w:p>
      <w:r>
        <w:t xml:space="preserve">(3) Gasrückführungssysteme ohne Unterdruckunterstützung sind so zu errichten und zu betreiben, dass</w:t>
      </w:r>
    </w:p>
    <w:p>
      <w:pPr>
        <w:ind w:left="420"/>
      </w:pPr>
      <w:r>
        <w:t xml:space="preserve">1. nur solche Zapfventile eingesetzt werden, bei denen ein dichter Übergang zum Fahrzeugtank der Fahrzeuge hergestellt werden kann, deren Tankeinfüllstutzen für die Gasrückführung geeignet ist,</w:t>
      </w:r>
    </w:p>
    <w:p>
      <w:pPr>
        <w:ind w:left="420"/>
      </w:pPr>
      <w:r>
        <w:t xml:space="preserve">2. der freie Gasdurchgang im Rückführungssystem bei ausreichend geringem Strömungswiderstand gewährleistet ist,</w:t>
      </w:r>
    </w:p>
    <w:p>
      <w:pPr>
        <w:ind w:left="420"/>
      </w:pPr>
      <w:r>
        <w:t xml:space="preserve">3. der Gegendruck am Zapfventil den nach Angaben des Herstellers maximalen Wert nicht überschreitet,</w:t>
      </w:r>
    </w:p>
    <w:p>
      <w:pPr>
        <w:ind w:left="420"/>
      </w:pPr>
      <w:r>
        <w:t xml:space="preserve">4. die Rückführungsleitungen von den Zapfsäulen zum Lagertank ein stetes Gefälle von mindestens 1 Prozent haben und</w:t>
      </w:r>
    </w:p>
    <w:p>
      <w:pPr>
        <w:ind w:left="420"/>
      </w:pPr>
      <w:r>
        <w:t xml:space="preserve">5. die Dichtmanschetten der Zapfventile keine Risse, Löcher oder andere Defekte aufweisen, die zu Undichtigkeiten führen können.</w:t>
      </w:r>
    </w:p>
    <w:p>
      <w:r>
        <w:t xml:space="preserve">(4) Gasrückführungssysteme mit Unterdruckunterstützung sind so zu errichten und zu betreiben, dass</w:t>
      </w:r>
    </w:p>
    <w:p>
      <w:pPr>
        <w:ind w:left="420"/>
      </w:pPr>
      <w:r>
        <w:t xml:space="preserve">1. das nach dem Verfahren des § 5 Absatz 2 Satz 3 ermittelte Volumenverhältnis zwischen dem rückgeführten Kraftstoffdampf/Luft-Gemisch und dem getankten Kraftstoff 95 vom Hundert nicht unterschreitet und 105 vom Hundert nicht überschreitet,</w:t>
      </w:r>
    </w:p>
    <w:p>
      <w:pPr>
        <w:ind w:left="420"/>
      </w:pPr>
      <w:r>
        <w:t xml:space="preserve">2. keine Fremdluft über Einrichtungen der Zapfsäule in die Gasrückführleitung gelangt und somit das gesamte Gasrückführungssystem dicht ist,</w:t>
      </w:r>
    </w:p>
    <w:p>
      <w:pPr>
        <w:ind w:left="420"/>
      </w:pPr>
      <w:r>
        <w:t xml:space="preserve">3. während der Gasrückführung, abgesehen von sicherheitstechnisch bedingten Freisetzungen, keine Kraftstoffdämpfe über das Gasrückführungssystem und die angeschlossenen Einrichtungen in die Atmosphäre abgegeben werden und</w:t>
      </w:r>
    </w:p>
    <w:p>
      <w:pPr>
        <w:ind w:left="420"/>
      </w:pPr>
      <w:r>
        <w:t xml:space="preserve">4. die Funktionsfähigkeit des Gasrückführungssystems durch eine automatische Überwachungseinrichtung, die mindestens die Anforderungen nach Absatz 5 erfüllt, fortlaufend überprüft wird.</w:t>
      </w:r>
    </w:p>
    <w:p>
      <w:r>
        <w:t xml:space="preserve">(5) Die automatische Überwachungseinrichtung nach Absatz 4 Nummer 4 hat</w:t>
      </w:r>
    </w:p>
    <w:p>
      <w:pPr>
        <w:ind w:left="420"/>
      </w:pPr>
      <w:r>
        <w:t xml:space="preserve">1. Störungen der Funktionsfähigkeit des Gasrückführungssystems automatisch festzustellen und die festgestellten Störungen dem Tankstellenpersonal zu signalisieren,</w:t>
      </w:r>
    </w:p>
    <w:p>
      <w:pPr>
        <w:ind w:left="420"/>
      </w:pPr>
      <w:r>
        <w:t xml:space="preserve">2. bei Störungen der Funktionsfähigkeit des Gasrückführungssystems, die dem Tankstellenpersonal länger als 72 Stunden signalisiert werden, den Kraftstofffluss automatisch zu unterbrechen,</w:t>
      </w:r>
    </w:p>
    <w:p>
      <w:pPr>
        <w:ind w:left="420"/>
      </w:pPr>
      <w:r>
        <w:t xml:space="preserve">3. Störungen der Eigenfunktionsfähigkeit automatisch festzustellen und dem Tankstellenpersonal zu signalisieren,</w:t>
      </w:r>
    </w:p>
    <w:p>
      <w:pPr>
        <w:ind w:left="420"/>
      </w:pPr>
      <w:r>
        <w:t xml:space="preserve">4. bei Störungen der Eigenfunktionsfähigkeit, die dem Tankstellenpersonal länger als in dem unter Nummer 2 genannten Zeitraum signalisiert werden, den Kraftstofffluss automatisch zu unterbrechen.</w:t>
      </w:r>
    </w:p>
    <w:p>
      <w:r>
        <w:t xml:space="preserve">Eine Störung der Funktionsfähigkeit des Gasrückführungssystems liegt vor, wenn die fortlaufende Bewertung der Betankungsvorgänge durch die automatische Überwachungseinrichtung ergibt, dass das Volumenverhältnis zwischen dem rückgeführten Kraftstoffdampf/Luft-Gemisch und dem getankten Kraftstoff, gemittelt über die Dauer des Betankungsvorgangs, bei zehn Betankungsvorgängen in Folge jeweils entweder 85 vom Hundert unterschreitet oder 115 vom Hundert überschreitet. In die Bewertung nach Satz 2 sind nur solche Betankungsvorgänge einzubeziehen, deren Dauer 20 Sekunden oder mehr beträgt und bei denen der Kraftstoffvolumenstrom 25 Liter je Minute oder mehr erreicht.</w:t>
      </w:r>
    </w:p>
    <w:p>
      <w:r>
        <w:t xml:space="preserve">(6) Abweichend von Absatz 1 können Tankstellen auch so errichtet und betrieben werden, dass die im Fahrzeugtank verdrängten Kraftstoffdämpfe vollständig erfasst und einer Abgasreinigungseinrichtung mit stofflicher Rückgewinnung der Kraftstoffdämpfe zugeführt werden, deren Reinigungsgrad 97 vom Hundert nicht unterschreitet. Eine Kombination dieser Anlagentechnik mit der nach Absatz 1 ist zulässig.</w:t>
      </w:r>
    </w:p>
    <w:p>
      <w:r>
        <w:t xml:space="preserve">(7) Absatz 1 gilt nicht für</w:t>
      </w:r>
    </w:p>
    <w:p>
      <w:pPr>
        <w:ind w:left="420"/>
      </w:pPr>
      <w:r>
        <w:t xml:space="preserve">1. bestehende Tankstellen im Sinne des § 2 Nummer 4, die einen jährlichen Durchsatz von Ottokraftstoffen oder Kraftstoffgemischen von 500 Kubikmetern oder weniger haben,</w:t>
      </w:r>
    </w:p>
    <w:p>
      <w:pPr>
        <w:ind w:left="420"/>
      </w:pPr>
      <w:r>
        <w:t xml:space="preserve">2. bestehende Tankstellen im Sinne des § 2 Nummer 4, die unter ständigen Wohn- oder Arbeitsräumen liegen und einen jährlichen Durchsatz von Ottokraftstoffen oder Kraftstoffgemischen von 100 Kubikmetern oder weniger haben,</w:t>
      </w:r>
    </w:p>
    <w:p>
      <w:pPr>
        <w:ind w:left="420"/>
      </w:pPr>
      <w:r>
        <w:t xml:space="preserve">3. das Betanken von Fahrzeugen, die nicht mittels eines Gasrückführungssystems betankt werden können,</w:t>
      </w:r>
    </w:p>
    <w:p>
      <w:pPr>
        <w:ind w:left="420"/>
      </w:pPr>
      <w:r>
        <w:t xml:space="preserve">4. Tankstellen, die zur Betankung von Neufahrzeugen in Automobilwerken dienen.</w:t>
      </w:r>
    </w:p>
    <w:p>
      <w:r>
        <w:rPr>
          <w:color w:val="555555"/>
          <w:sz w:val="17"/>
        </w:rPr>
        <w:t xml:space="preserve">Zitiervorschlag: § 3 BImSchV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