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BImSchV 21 — Übergangsregelung</w:t>
      </w:r>
    </w:p>
    <w:p>
      <w:r>
        <w:rPr>
          <w:color w:val="555555"/>
          <w:sz w:val="18"/>
        </w:rPr>
        <w:t xml:space="preserve">Verordnung zur Begrenzung der Kohlenwasserstoffemissionen bei der Betankung von Kraftfahrzeugen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Bestehende Tankstellen haben die Anforderungen des § 3 Absatz 1 spätestens ab dem 1. Januar 2019 zu erfüllen, wenn sie</w:t>
      </w:r>
    </w:p>
    <w:p>
      <w:pPr>
        <w:ind w:left="420"/>
      </w:pPr>
      <w:r>
        <w:t xml:space="preserve">1. einen jährlichen Durchsatz von Ottokraftstoffen oder Kraftstoffgemischen von mehr als 500 Kubikmetern bis zu 1 000 Kubikmeter haben oder</w:t>
      </w:r>
    </w:p>
    <w:p>
      <w:pPr>
        <w:ind w:left="420"/>
      </w:pPr>
      <w:r>
        <w:t xml:space="preserve">2. unter ständigen Wohn- oder Arbeitsräumen liegen und einen jährlichen Durchsatz von Ottokraftstoffen oder Kraftstoffgemischen von mehr als 100 Kubikmetern bis zu 1 000 Kubikmeter haben.</w:t>
      </w:r>
    </w:p>
    <w:p>
      <w:r>
        <w:t xml:space="preserve">Bezugsjahr für den jährlichen Durchsatz ist das Jahr 2012. Wird die Tankstelle nicht während des gesamten Jahres 2012 betrieben, so ist der tatsächliche Durchsatz auf das Jahr hochzurechnen.</w:t>
      </w:r>
    </w:p>
    <w:p>
      <w:r>
        <w:t xml:space="preserve">(2) Tankstellen, die zwischen dem 1. Januar 1993 und dem 27. April 2012 errichtet worden sind, haben im Falle der Abgabe von Kraftstoffgemischen die Anforderungen des § 3 Absatz 1 spätestens ab dem 1. Januar 2019 zu erfüllen.</w:t>
      </w:r>
    </w:p>
    <w:p>
      <w:r>
        <w:t xml:space="preserve">(3) Tankstellen, die bis zum 12. Mai 2016 errichtet wurden, dürfen bis zum 31. Dezember 2018 abweichend von § 3 Absatz 2 mit einem Gasrückführungssystem, bei welchem der Wirkungsgrad von 85 Prozent unter Anwendung der Anlage 1 in der bis zum 12. Mai 2016 geltenden Fassung in Verbindung mit der VDI-Richtlinie: VDI 4205 Blatt 4, Ausgabe August 2005, bestimmt wurde, betrieben werden. Abweichend von § 5 Absatz 2 dürfen bis zum 31. Dezember 2018 die Überprüfungen nach der VDI-Richtlinie: VDI 4205 Blatt 2, Ausgabe Juli 2003, und der VDI-Richtlinie: VDI 4205 Blatt 3, Ausgabe November 2003, erfolgen.</w:t>
      </w:r>
    </w:p>
    <w:p>
      <w:r>
        <w:rPr>
          <w:color w:val="555555"/>
          <w:sz w:val="17"/>
        </w:rPr>
        <w:t xml:space="preserve">Zitiervorschlag: § 10 BImSchV 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https://recht.nulegal.eu/gesetze/BImSchV%2021/10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