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BImSchV 18</w:t>
      </w:r>
    </w:p>
    <w:p>
      <w:r>
        <w:rPr>
          <w:color w:val="555555"/>
          <w:sz w:val="18"/>
        </w:rPr>
        <w:t xml:space="preserve">Sportanlagenlärmschutzverordnung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23 Abs. 1 des Bundes-Immissionsschutzgesetzes in der Fassung der Bekanntmachung vom 14. Mai 1990 (BGBl. I S. 880) verordnet die Bundesregierung nach Anhörung der beteiligten Kreise:</w:t>
      </w:r>
    </w:p>
    <w:p>
      <w:r>
        <w:rPr>
          <w:color w:val="555555"/>
          <w:sz w:val="17"/>
        </w:rPr>
        <w:t xml:space="preserve">Zitiervorschlag: Eingangsformel BImSchV 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https://recht.nulegal.eu/gesetze/BImSchV%2018/eingangsformel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