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21 BImSchV 17 2013 — Störungen des Betriebs</w:t>
      </w:r>
    </w:p>
    <w:p>
      <w:r>
        <w:rPr>
          <w:color w:val="555555"/>
          <w:sz w:val="18"/>
        </w:rPr>
        <w:t xml:space="preserve">Verordnung über die Verbrennung und die Mitverbrennung von Abfällen</w:t>
      </w:r>
    </w:p>
    <w:p>
      <w:r>
        <w:rPr>
          <w:color w:val="555555"/>
          <w:sz w:val="18"/>
        </w:rPr>
        <w:t xml:space="preserve">Stand: 16.02.2024 (konsolidierte Textfassung, kein amtliches Inkrafttretensdatum)</w:t>
      </w:r>
    </w:p>
    <w:p>
      <w:r>
        <w:t xml:space="preserve">(1) Ergibt sich aus Messungen, dass Anforderungen an den Betrieb einer Abfallverbrennungs- oder -mitverbrennungsanlage oder zur Begrenzung von Emissionen nicht erfüllt werden, hat der Betreiber dies der zuständigen Behörde unverzüglich mitzuteilen. Er hat unverzüglich die erforderlichen Maßnahmen für einen ordnungsgemäßen Betrieb zu treffen; § 4 Absatz 8 Nummer 2 und 3 bleiben unberührt.</w:t>
      </w:r>
    </w:p>
    <w:p>
      <w:r>
        <w:t xml:space="preserve">(2) Die zuständige Behörde trägt durch entsprechende Überwachungsmaßnahmen dafür Sorge, dass der Betreiber</w:t>
      </w:r>
    </w:p>
    <w:p>
      <w:pPr>
        <w:ind w:left="420"/>
      </w:pPr>
      <w:r>
        <w:t xml:space="preserve">1. seinen rechtlichen Verpflichtungen zu einem ordnungsgemäßen Betrieb nachkommt oder</w:t>
      </w:r>
    </w:p>
    <w:p>
      <w:pPr>
        <w:ind w:left="420"/>
      </w:pPr>
      <w:r>
        <w:t xml:space="preserve">2. die Anlage außer Betrieb nimmt.</w:t>
      </w:r>
    </w:p>
    <w:p>
      <w:r>
        <w:t xml:space="preserve">(3) Bei Abfallverbrennungs- oder -mitverbrennungsanlagen, die aus einer oder mehreren Abfallverbrennungslinien mit gemeinsamen Abgaseinrichtungen bestehen, soll die Behörde für technisch unvermeidbare Ausfälle der Abgasreinigungseinrichtungen in der Anlagengenehmigung den Zeitraum festlegen, währenddessen von den Emissionsgrenzwerten nach § 8 und Anlage 3 unter bestimmten Voraussetzungen abgewichen werden darf. Nicht abgewichen werden darf von den Emissionsgrenzwerten für organische Stoffe, angegeben als Gesamtkohlenstoff, und für Kohlenmonoxid nach</w:t>
      </w:r>
    </w:p>
    <w:p>
      <w:pPr>
        <w:ind w:left="420"/>
      </w:pPr>
      <w:r>
        <w:t xml:space="preserve">1. § 8 Absatz 1 Nummer 1 Buchstabe b und h,</w:t>
      </w:r>
    </w:p>
    <w:p>
      <w:pPr>
        <w:ind w:left="420"/>
      </w:pPr>
      <w:r>
        <w:t xml:space="preserve">2. § 8 Absatz 1 Nummer 2 Buchstabe b und h und</w:t>
      </w:r>
    </w:p>
    <w:p>
      <w:pPr>
        <w:ind w:left="420"/>
      </w:pPr>
      <w:r>
        <w:t xml:space="preserve">3. Anlage 3 Nummer 2.1, 3.1, 3.2, 3.4, 3.5, 3.6 und 4.1.</w:t>
      </w:r>
    </w:p>
    <w:p>
      <w:r>
        <w:t xml:space="preserve">(4) Die Anlage darf in Fällen des Absatzes 3 nicht länger weiterbetrieben werden als,</w:t>
      </w:r>
    </w:p>
    <w:p>
      <w:pPr>
        <w:ind w:left="420"/>
      </w:pPr>
      <w:r>
        <w:t xml:space="preserve">1. vier aufeinander folgende Stunden und</w:t>
      </w:r>
    </w:p>
    <w:p>
      <w:pPr>
        <w:ind w:left="420"/>
      </w:pPr>
      <w:r>
        <w:t xml:space="preserve">2. innerhalb eines Kalenderjahres 60 Stunden.</w:t>
      </w:r>
    </w:p>
    <w:p>
      <w:r>
        <w:t xml:space="preserve">Die Emissionsbegrenzung für den Gesamtstaub darf eine Massenkonzentration von 150 mg/m3 Abgas, gemessen als Halbstundenmittelwert, nicht überschreiten. § 4 Absatz 8 und 9, § 8 Absatz 5 sowie § 9 Absatz 4 gelten entsprechend.</w:t>
      </w:r>
    </w:p>
    <w:p>
      <w:r>
        <w:rPr>
          <w:color w:val="555555"/>
          <w:sz w:val="17"/>
        </w:rPr>
        <w:t xml:space="preserve">Zitiervorschlag: § 21 BImSchV 17 2013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https://recht.nulegal.eu/gesetze/BImSchV%2017%202013/21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