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BImSchV 16 — Berechnung des Beurteilungspegels für Schienenwege</w:t>
      </w:r>
    </w:p>
    <w:p>
      <w:r>
        <w:rPr>
          <w:color w:val="555555"/>
          <w:sz w:val="18"/>
        </w:rPr>
        <w:t xml:space="preserve">Verkehrslärmschutzverordnung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Beurteilungspegel für Schienenwege ist nach Anlage 2 zu berechnen. Die Berechnung hat getrennt für den Beurteilungszeitraum Tag (6 Uhr bis 22 Uhr) und den Beurteilungszeitraum Nacht (22 Uhr bis 6 Uhr) zu erfolgen.</w:t>
      </w:r>
    </w:p>
    <w:p>
      <w:r>
        <w:t xml:space="preserve">(2) Bei der Berechnung sind insbesondere folgende Rahmenbedingungen zu beachten:</w:t>
      </w:r>
    </w:p>
    <w:p>
      <w:pPr>
        <w:ind w:left="420"/>
      </w:pPr>
      <w:r>
        <w:t xml:space="preserve">1. die Schallpegelkennwerte von Fahrzeugen und Fahrwegen,</w:t>
      </w:r>
    </w:p>
    <w:p>
      <w:pPr>
        <w:ind w:left="420"/>
      </w:pPr>
      <w:r>
        <w:t xml:space="preserve">2. die Einflüsse auf dem Ausbreitungsweg,</w:t>
      </w:r>
    </w:p>
    <w:p>
      <w:pPr>
        <w:ind w:left="420"/>
      </w:pPr>
      <w:r>
        <w:t xml:space="preserve">3. die Besonderheiten des Schienenverkehrs durch Auf- oder Abschläge</w:t>
      </w:r>
    </w:p>
    <w:p>
      <w:pPr>
        <w:ind w:left="780"/>
      </w:pPr>
      <w:r>
        <w:t xml:space="preserve">a) für die Lästigkeit von Geräuschen infolge ihres zeitlichen Verlaufs, ihrer Dauer, ihrer Häufigkeit und ihrer Frequenz sowie</w:t>
      </w:r>
    </w:p>
    <w:p>
      <w:pPr>
        <w:ind w:left="780"/>
      </w:pPr>
      <w:r>
        <w:t xml:space="preserve">b) für die Lästigkeit ton- oder impulshaltiger Geräusche.</w:t>
      </w:r>
    </w:p>
    <w:p>
      <w:r>
        <w:t xml:space="preserve">(3) Abweichend von Absatz 1 Satz 1 ist für Abschnitte von Vorhaben, für die bis zum 31. Dezember 2014 das Planfeststellungsverfahren bereits eröffnet und die Auslegung des Plans öffentlich bekannt gemacht worden ist, § 3 in Verbindung mit Anlage 2 in der bis zum 31. Dezember 2014 geltenden Fassung weiter anzuwenden. § 43 Absatz 1 Satz 3 des Bundes-Immissionsschutzgesetzes bleibt unberührt.</w:t>
      </w:r>
    </w:p>
    <w:p>
      <w:r>
        <w:rPr>
          <w:color w:val="555555"/>
          <w:sz w:val="17"/>
        </w:rPr>
        <w:t xml:space="preserve">Zitiervorschlag: § 4 BImSchV 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https://recht.nulegal.eu/gesetze/BImSchV%2016/4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