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BImSchV 14 — Inkrafttreten</w:t>
      </w:r>
    </w:p>
    <w:p>
      <w:r>
        <w:rPr>
          <w:color w:val="555555"/>
          <w:sz w:val="18"/>
        </w:rPr>
        <w:t xml:space="preserve">Verordnung über Anlagen der Landesverteidigung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ersten Tag des auf die Verkündung folgenden Kalendermonats in Kraft.</w:t>
      </w:r>
    </w:p>
    <w:p>
      <w:r>
        <w:rPr>
          <w:color w:val="555555"/>
          <w:sz w:val="17"/>
        </w:rPr>
        <w:t xml:space="preserve">Zitiervorschlag: § 3 BImSchV 14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https://recht.nulegal.eu/gesetze/BImSchV%2014/3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