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BImSchV 13 2021 — Wesentliche Änderung einer Feuerungsanlage</w:t>
      </w:r>
    </w:p>
    <w:p>
      <w:r>
        <w:rPr>
          <w:color w:val="555555"/>
          <w:sz w:val="18"/>
        </w:rPr>
        <w:t xml:space="preserve">Verordnung über Großfeuerungs-, Gasturbinen- und Verbrennungsmotoranlagen</w:t>
      </w:r>
    </w:p>
    <w:p>
      <w:r>
        <w:rPr>
          <w:color w:val="555555"/>
          <w:sz w:val="18"/>
        </w:rPr>
        <w:t xml:space="preserve">Stand: 15.07.2021 (konsolidierte Textfassung, kein amtliches Inkrafttretensdatum)</w:t>
      </w:r>
    </w:p>
    <w:p>
      <w:r>
        <w:t xml:space="preserve">Wird eine Feuerungsanlage wesentlich geändert, sind die Anforderungen dieses Unterabschnitts sowie die zusätzlichen Anforderungen an die Errichtung und den Betrieb im jeweils maßgeblichen Abschnitt 2, 3, 4, 5 oder 6 anzuwenden auf</w:t>
      </w:r>
    </w:p>
    <w:p>
      <w:pPr>
        <w:ind w:left="420"/>
      </w:pPr>
      <w:r>
        <w:t xml:space="preserve">1. die Anlagenteile und Verfahrensschritte, die geändert werden sollen, sowie</w:t>
      </w:r>
    </w:p>
    <w:p>
      <w:pPr>
        <w:ind w:left="420"/>
      </w:pPr>
      <w:r>
        <w:t xml:space="preserve">2. die Anlagenteile und Verfahrensschritte, auf die sich die Änderung auswirken wird.</w:t>
      </w:r>
    </w:p>
    <w:p>
      <w:r>
        <w:t xml:space="preserve">Für die Bestimmung, welche Anforderungen anzuwenden sind, ist die Gesamtleistung der Feuerungsanlage nach erfolgter wesentlicher Änderung maßgeblich.</w:t>
      </w:r>
    </w:p>
    <w:p>
      <w:r>
        <w:rPr>
          <w:color w:val="555555"/>
          <w:sz w:val="17"/>
        </w:rPr>
        <w:t xml:space="preserve">Zitiervorschlag: § 8 BImSchV 13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https://recht.nulegal.eu/gesetze/BImSchV%2013%202021/8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