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BImSchV 13 2021 — Emissionsgrenzwerte bei Betrieb mit mehreren Brennstoffen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Feuerungsanlagen sind beim Betrieb mit mehreren Brennstoffen so zu betreiben, dass</w:t>
      </w:r>
    </w:p>
    <w:p>
      <w:pPr>
        <w:ind w:left="420"/>
      </w:pPr>
      <w:r>
        <w:t xml:space="preserve">1. kein Jahres- und kein Tagesmittelwert den sich aus Absatz 2 oder 3 jeweils ergebenden Emissionsgrenzwert für das Jahr und den Tag überschreitet und</w:t>
      </w:r>
    </w:p>
    <w:p>
      <w:pPr>
        <w:ind w:left="420"/>
      </w:pPr>
      <w:r>
        <w:t xml:space="preserve">2. kein Halbstundenmittelwert das Doppelte des gemäß Nummer 1 bestimmten Emissionsgrenzwertes für den Tag überschreitet.</w:t>
      </w:r>
    </w:p>
    <w:p>
      <w:r>
        <w:t xml:space="preserve">(2) Bei Mischfeuerungen sind die für den jeweiligen Brennstoff maßgeblichen Emissionsgrenzwerte und der jeweilige Bezugssauerstoffgehalt nach dem Verhältnis der mit diesem Brennstoff zugeführten Feuerungswärmeleistung zu der insgesamt zugeführten Feuerungswärmeleistung zu ermitteln. Die für die Feuerungsanlage maßgeblichen Emissionsgrenzwerte und der für die Feuerungsanlage maßgebliche Bezugssauerstoffgehalt ergeben sich durch Addition der nach Satz 1 ermittelten Werte.</w:t>
      </w:r>
    </w:p>
    <w:p>
      <w:r>
        <w:t xml:space="preserve">(3) Bei Mehrstofffeuerungen gelten die Anforderungen, die für den jeweils eingesetzten Brennstoff gelten.</w:t>
      </w:r>
    </w:p>
    <w:p>
      <w:r>
        <w:rPr>
          <w:color w:val="555555"/>
          <w:sz w:val="17"/>
        </w:rPr>
        <w:t xml:space="preserve">Zitiervorschlag: § 6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BImSchV 13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