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BImSchV 13 2021 — Aggregationsregeln</w:t>
      </w:r>
    </w:p>
    <w:p>
      <w:r>
        <w:rPr>
          <w:color w:val="555555"/>
          <w:sz w:val="18"/>
        </w:rPr>
        <w:t xml:space="preserve">Verordnung über Großfeuerungs-, Gasturbinen- und Verbrennungsmotoranlagen</w:t>
      </w:r>
    </w:p>
    <w:p>
      <w:r>
        <w:rPr>
          <w:color w:val="555555"/>
          <w:sz w:val="18"/>
        </w:rPr>
        <w:t xml:space="preserve">Stand: 15.07.2021 (konsolidierte Textfassung, kein amtliches Inkrafttretensdatum)</w:t>
      </w:r>
    </w:p>
    <w:p>
      <w:r>
        <w:t xml:space="preserve">(1) Werden in einer gemeinsamen Anlage im Sinne des § 1 Absatz 3 der Verordnung über genehmigungsbedürftige Anlagen die Abgase von zwei oder mehr gesonderten Feuerungsanlagen gemeinsam über einen Schornstein abgeleitet, so gilt die von solchen Feuerungsanlagen gebildete Kombination als eine einzige Feuerungsanlage; die Feuerungswärmeleistung dieser Feuerungsanlage ergibt sich durch Addition der Feuerungswärmeleistungen der gesonderten Feuerungsanlagen.</w:t>
      </w:r>
    </w:p>
    <w:p>
      <w:r>
        <w:t xml:space="preserve">(2) Wird eine gemeinsame Anlage im Sinne des § 1 Absatz 3 der Verordnung über genehmigungsbedürftige Anlagen</w:t>
      </w:r>
    </w:p>
    <w:p>
      <w:pPr>
        <w:ind w:left="420"/>
      </w:pPr>
      <w:r>
        <w:t xml:space="preserve">1. aus zwei oder mehr gesonderten Feuerungsanlagen derart errichtet oder</w:t>
      </w:r>
    </w:p>
    <w:p>
      <w:pPr>
        <w:ind w:left="420"/>
      </w:pPr>
      <w:r>
        <w:t xml:space="preserve">2. als bestehende Anlage durch eine oder mehrere neue Feuerungsanlagen derart erweitert,</w:t>
      </w:r>
    </w:p>
    <w:p>
      <w:r>
        <w:t xml:space="preserve">dass ihre Abgase unter Berücksichtigung technischer und wirtschaftlicher Faktoren nach Beurteilung der zuständigen Behörde gemeinsam über einen Schornstein abgeleitet werden können, so gilt die von solchen Feuerungsanlagen gebildete Kombination als eine einzige Feuerungsanlage; die Feuerungswärmeleistung dieser Feuerungsanlage ergibt sich durch Addition der Feuerungswärmeleistungen der gesonderten Feuerungsanlagen. Die Behörde kann von der Addition nach Satz 1 im Einzelfall absehen, wenn der Betreiber plausible Gründe benennt, die der Addition entgegenstehen.</w:t>
      </w:r>
    </w:p>
    <w:p>
      <w:r>
        <w:t xml:space="preserve">(3) Für die Berechnung der Feuerungswärmeleistung einer in den Absätzen 1 und 2 genannten Kombination gesonderter Feuerungsanlagen werden einzelne Feuerungsanlagen mit einer Feuerungswärmeleistung von weniger als 15 MW nicht berücksichtigt. Die Grenzwerte dieser Verordnung sind bei diesen Anlagen nicht anzuwenden.</w:t>
      </w:r>
    </w:p>
    <w:p>
      <w:r>
        <w:t xml:space="preserve">(4) Leitet ein Teil einer Feuerungsanlage, die die Voraussetzungen von Absatz 1 oder 2 erfüllt, seine Abgase über einen oder mehrere gesonderte Schornsteinzüge oder Rauchgaskanäle im Schornstein ab und ist er im gleitenden Durchschnitt über einen Zeitraum von fünf Jahren höchstens 1 500 Stunden jährlich in Betrieb, kann dieser Teil der Feuerungsanlage für die Zwecke dieser Verordnung gesondert betrachtet werden. In Fällen dieser Art werden die durch jeden dieser Schornsteinzüge oder Rauchgaskanäle abgeleiteten Emissionen des Anlagenteils gesondert überwacht und die zugehörigen Betriebsstunden erfasst. Der Betreiber einer Feuerungsanlage nach Satz 1 hat jeweils bis zum 31. März eines Jahres einen Nachweis über die Einhaltung der Betriebszeit zu führen und der zuständigen Behörde auf Verlangen vorzulegen.</w:t>
      </w:r>
    </w:p>
    <w:p>
      <w:r>
        <w:rPr>
          <w:color w:val="555555"/>
          <w:sz w:val="17"/>
        </w:rPr>
        <w:t xml:space="preserve">Zitiervorschlag: § 4 BImSchV 13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https://recht.nulegal.eu/gesetze/BImSchV%2013%202021/4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BImSchV 13 2021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