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BImSchV 13 2021 — Messberichte; Beurteilung von periodischen Messungen</w:t>
      </w:r>
    </w:p>
    <w:p>
      <w:r>
        <w:rPr>
          <w:color w:val="555555"/>
          <w:sz w:val="18"/>
        </w:rPr>
        <w:t xml:space="preserve">Verordnung über Großfeuerungs-, Gasturbinen- und Verbrennungsmotoranlagen</w:t>
      </w:r>
    </w:p>
    <w:p>
      <w:r>
        <w:rPr>
          <w:color w:val="555555"/>
          <w:sz w:val="18"/>
        </w:rPr>
        <w:t xml:space="preserve">Stand: 15.07.2021 (konsolidierte Textfassung, kein amtliches Inkrafttretensdatum)</w:t>
      </w:r>
    </w:p>
    <w:p>
      <w:r>
        <w:t xml:space="preserve">(1) Der Betreiber hat über die Ergebnisse der Messungen nach § 20 einen Messbericht gemäß Satz 2 zu erstellen. Den Messbericht hat der Betreiber der zuständigen Behörde innerhalb von zwölf Wochen nach Durchführung der Messung vorzulegen. Der Messbericht muss Folgendes enthalten:</w:t>
      </w:r>
    </w:p>
    <w:p>
      <w:pPr>
        <w:ind w:left="420"/>
      </w:pPr>
      <w:r>
        <w:t xml:space="preserve">1. Angaben über die Messplanung,</w:t>
      </w:r>
    </w:p>
    <w:p>
      <w:pPr>
        <w:ind w:left="420"/>
      </w:pPr>
      <w:r>
        <w:t xml:space="preserve">2. das Ergebnis jeder periodischen Messung,</w:t>
      </w:r>
    </w:p>
    <w:p>
      <w:pPr>
        <w:ind w:left="420"/>
      </w:pPr>
      <w:r>
        <w:t xml:space="preserve">3. das verwendete Messverfahren und</w:t>
      </w:r>
    </w:p>
    <w:p>
      <w:pPr>
        <w:ind w:left="420"/>
      </w:pPr>
      <w:r>
        <w:t xml:space="preserve">4. die Betriebsbedingungen, die für die Beurteilung der Messergebnisse von Bedeutung sind</w:t>
      </w:r>
    </w:p>
    <w:p>
      <w:r>
        <w:t xml:space="preserve">und soll dem Anhang A der VDI 4220 Blatt 2 (Ausgabe November 2018) entsprechen.</w:t>
      </w:r>
    </w:p>
    <w:p>
      <w:r>
        <w:t xml:space="preserve">(2) Die Emissionsgrenzwerte gelten als eingehalten, wenn kein Ergebnis einer periodischen Messung den jeweils geltenden Emissionsgrenzwert überschreitet.</w:t>
      </w:r>
    </w:p>
    <w:p>
      <w:r>
        <w:rPr>
          <w:color w:val="555555"/>
          <w:sz w:val="17"/>
        </w:rPr>
        <w:t xml:space="preserve">Zitiervorschlag: § 21 BImSchV 13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https://recht.nulegal.eu/gesetze/BImSchV%2013%202021/21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