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BImSchV 13 2021 — Abgasreinigungseinrichtungen</w:t>
      </w:r>
    </w:p>
    <w:p>
      <w:r>
        <w:rPr>
          <w:color w:val="555555"/>
          <w:sz w:val="18"/>
        </w:rPr>
        <w:t xml:space="preserve">Verordnung über Großfeuerungs-, Gasturbinen- und Verbrennungsmotoranlagen</w:t>
      </w:r>
    </w:p>
    <w:p>
      <w:r>
        <w:rPr>
          <w:color w:val="555555"/>
          <w:sz w:val="18"/>
        </w:rPr>
        <w:t xml:space="preserve">Stand: 15.07.2021 (konsolidierte Textfassung, kein amtliches Inkrafttretensdatum)</w:t>
      </w:r>
    </w:p>
    <w:p>
      <w:r>
        <w:t xml:space="preserve">(1) Soweit zur Einhaltung der Emissionsgrenzwerte Abgasreinigungseinrichtungen erforderlich sind, muss der gesamte Abgasstrom behandelt werden.</w:t>
      </w:r>
    </w:p>
    <w:p>
      <w:r>
        <w:t xml:space="preserve">(2) Der Betreiber einer Anlage hat bei einer Betriebsstörung an einer Abgasreinigungseinrichtung oder bei ihrem Ausfall unverzüglich die erforderlichen Maßnahmen für die Wiederherstellung eines ordnungsgemäßen Betriebs zu ergreifen. Er hat den Betrieb der Anlage einzuschränken oder sie außer Betrieb zu nehmen, wenn ein ordnungsgemäßer Betrieb nicht innerhalb von 24 Stunden sichergestellt werden kann. In jedem Fall hat er die zuständige Behörde unverzüglich, spätestens innerhalb von 48 Stunden zu unterrichten.</w:t>
      </w:r>
    </w:p>
    <w:p>
      <w:r>
        <w:t xml:space="preserve">(3) Die zuständige Behörde hat in der Genehmigung geeignete Maßnahmen für den Fall einer Betriebsstörung an der Abgasreinigungseinrichtung oder ihres Ausfalls vorzusehen. Beim Ausfall einer Abgasreinigungseinrichtung darf eine Anlage während eines Zeitraums von zwölf aufeinanderfolgenden Monaten höchstens 120 Stunden ohne diese Abgasreinigungseinrichtung betrieben werden.</w:t>
      </w:r>
    </w:p>
    <w:p>
      <w:r>
        <w:rPr>
          <w:color w:val="555555"/>
          <w:sz w:val="17"/>
        </w:rPr>
        <w:t xml:space="preserve">Zitiervorschlag: § 12 BImSchV 13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https://recht.nulegal.eu/gesetze/BImSchV%2013%202021/12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