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BImSchV 13 2013 — Emissionsgrenzwerte für Gasmotoranlagen</w:t>
      </w:r>
    </w:p>
    <w:p>
      <w:r>
        <w:rPr>
          <w:color w:val="555555"/>
          <w:sz w:val="18"/>
        </w:rPr>
        <w:t xml:space="preserve">Verordnung über Großfeuerungs-, Gasturbinen- und Verbrennungsmotoranlagen</w:t>
      </w:r>
    </w:p>
    <w:p>
      <w:r>
        <w:rPr>
          <w:color w:val="555555"/>
          <w:sz w:val="18"/>
        </w:rPr>
        <w:t xml:space="preserve">Historische Fassung: Stand 10.06.2019 bis 15.07.2021. Dies ist nicht die aktuelle Fassung.</w:t>
      </w:r>
    </w:p>
    <w:p>
      <w:r>
        <w:t xml:space="preserve">(1) Gasmotoranlagen sind so zu errichten und zu betreiben, dass die Anforderungen dieses Absatzes und des Absatzes 2 eingehalten werden. Der Betreiber hat dafür zu sorgen, dass</w:t>
      </w:r>
    </w:p>
    <w:p>
      <w:pPr>
        <w:ind w:left="420"/>
      </w:pPr>
      <w:r>
        <w:t xml:space="preserve">1. kein Tagesmittelwert die folgenden Emissionsgrenzwerte überschreitet:</w:t>
      </w:r>
    </w:p>
    <w:p>
      <w:r>
        <w:rPr>
          <w:rFonts w:ascii="Courier New" w:hAnsi="Courier New"/>
          <w:sz w:val="17"/>
        </w:rPr>
        <w:t xml:space="preserve">Stickstoffmonoxid und Stickstoffdioxid, angegeben als Stickstoffdioxid, bei Einsatz von gasförmigen Brennstoffen    200 mg/m3,</w:t>
      </w:r>
    </w:p>
    <w:p>
      <w:r>
        <w:rPr>
          <w:rFonts w:ascii="Courier New" w:hAnsi="Courier New"/>
          <w:sz w:val="17"/>
        </w:rPr>
        <w:t xml:space="preserve">Kohlenmonoxid    250 mg/m3;</w:t>
      </w:r>
    </w:p>
    <w:p>
      <w:pPr>
        <w:ind w:left="420"/>
      </w:pPr>
      <w:r>
        <w:t xml:space="preserve">2. kein Halbstundenmittelwert das Doppelte der unter Nummer 1 bestimmten Emissionsgrenzwerte überschreitet.</w:t>
      </w:r>
    </w:p>
    <w:p>
      <w:r>
        <w:t xml:space="preserve">(2) Abweichend von Absatz 1 Satz 2 Nummer 1 Buchstabe a und Nummer 2 darf für im Jahr 2014 bestehende Anlagen ein Emissionsgrenzwert für Stickstoffmonoxid und Stickstoffdioxid, angegeben als Stickstoffdioxid, von 250 mg/m3 für den Tagesmittelwert und von 500 mg/m3 für den Halbstundenmittelwert nicht überschritten werden.</w:t>
      </w:r>
    </w:p>
    <w:p>
      <w:r>
        <w:t xml:space="preserve">(3) Bei Gasmotoranlagen, die dem Notbetrieb während bis zu 300 Stunden im Jahr dienen, ist Absatz 1 nicht anzuwenden.</w:t>
      </w:r>
    </w:p>
    <w:p>
      <w:r>
        <w:t xml:space="preserve">(4) Der Betreiber einer Anlage nach Absatz 3 hat jeweils bis zum 31. März eines Jahres für das vorhergehende Jahr einen Nachweis über die Einhaltung der Betriebszeit zu führen und der zuständigen Behörde auf Verlangen vorzulegen. Der Betreiber hat die Nachweise jeweils fünf Jahre nach Ende des Nachweiszeitraums aufzubewahren.</w:t>
      </w:r>
    </w:p>
    <w:p>
      <w:r>
        <w:t xml:space="preserve">(5) Andere oder weiter gehende Anforderungen nach anderen Rechtsverordnungen oder nach der Ersten Allgemeinen Verwaltungsvorschrift zum Bundes-Immissionsschutzgesetz (Technische Anleitung zur Reinhaltung der Luft – TA Luft) vom 24. Juli 2002 (GMBl S. 511) in der jeweils geltenden Fassung bleiben unberührt.</w:t>
      </w:r>
    </w:p>
    <w:p>
      <w:r>
        <w:rPr>
          <w:color w:val="555555"/>
          <w:sz w:val="17"/>
        </w:rPr>
        <w:t xml:space="preserve">Zitiervorschlag: § 9 BImSchV 13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